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B3A5C"/>
          <w:sz w:val="26"/>
          <w:szCs w:val="26"/>
        </w:rPr>
        <w:t xml:space="preserve">HACKENSACK POLICE DEPARTMENT</w:t>
      </w:r>
    </w:p>
    <w:p>
      <w:pPr>
        <w:spacing w:after="20"/>
        <w:jc w:val="center"/>
      </w:pPr>
      <w:r>
        <w:rPr>
          <w:rFonts w:ascii="Arial" w:cs="Arial" w:eastAsia="Arial" w:hAnsi="Arial"/>
          <w:color w:val="1B3A5C"/>
          <w:sz w:val="22"/>
          <w:szCs w:val="22"/>
        </w:rPr>
        <w:t xml:space="preserve">Response Time Analytics — Executive Brief</w:t>
      </w:r>
    </w:p>
    <w:p>
      <w:pPr>
        <w:pBdr>
          <w:bottom w:val="single" w:color="1B3A5C" w:sz="4" w:space="1"/>
        </w:pBdr>
        <w:spacing w:after="140"/>
        <w:jc w:val="center"/>
      </w:pPr>
      <w:r>
        <w:rPr>
          <w:rFonts w:ascii="Arial" w:cs="Arial" w:eastAsia="Arial" w:hAnsi="Arial"/>
          <w:color w:val="777777"/>
          <w:sz w:val="18"/>
          <w:szCs w:val="18"/>
        </w:rPr>
        <w:t xml:space="preserve">February 26, 2026  |  Principal Analyst R. A. Carucci  |  Data through January 2026 (v1.17.16)</w:t>
      </w:r>
    </w:p>
    <w:p>
      <w:pPr>
        <w:pStyle w:val="Heading1"/>
      </w:pPr>
      <w:r>
        <w:t xml:space="preserve">1. Methodology</w:t>
      </w:r>
    </w:p>
    <w:p>
      <w:pPr>
        <w:spacing w:before="60" w:after="80"/>
      </w:pPr>
      <w:r>
        <w:rPr>
          <w:rFonts w:ascii="Arial" w:cs="Arial" w:eastAsia="Arial" w:hAnsi="Arial"/>
          <w:sz w:val="19"/>
          <w:szCs w:val="19"/>
        </w:rPr>
        <w:t xml:space="preserve">The department tracks three response time metrics derived from CAD timereport data. Each metric measures a different segment of the total response timeline. All metrics use the </w:t>
      </w:r>
      <w:r>
        <w:rPr>
          <w:rFonts w:ascii="Arial" w:cs="Arial" w:eastAsia="Arial" w:hAnsi="Arial"/>
          <w:b/>
          <w:bCs/>
          <w:sz w:val="19"/>
          <w:szCs w:val="19"/>
        </w:rPr>
        <w:t xml:space="preserve">first-arriving officer</w:t>
      </w:r>
      <w:r>
        <w:rPr>
          <w:rFonts w:ascii="Arial" w:cs="Arial" w:eastAsia="Arial" w:hAnsi="Arial"/>
          <w:sz w:val="19"/>
          <w:szCs w:val="19"/>
        </w:rPr>
        <w:t xml:space="preserve"> per incident — when multiple units respond, only the officer with the earliest arrival time is counted. Administrative activities (meal breaks, training, court, patrol checks, and 97 other internal activity types) are excluded; only public calls for service are measured.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c>
          <w:tcPr>
            <w:tcW w:type="dxa" w:w="28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Visual Name</w:t>
            </w:r>
          </w:p>
        </w:tc>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Calculation</w:t>
            </w:r>
          </w:p>
        </w:tc>
        <w:tc>
          <w:tcPr>
            <w:tcW w:type="dxa" w:w="42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What It Measures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Dispatch to On Scene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Time Out − Time Dispatched</w:t>
            </w:r>
          </w:p>
        </w:tc>
        <w:tc>
          <w:tcPr>
            <w:tcW w:type="dxa" w:w="42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Officer travel time from dispatch to arrival. Measures patrol deployment efficiency.</w:t>
            </w:r>
          </w:p>
        </w:tc>
      </w:tr>
      <w:tr>
        <w:tc>
          <w:tcPr>
            <w:tcW w:type="dxa" w:w="28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Time Received to On Scene</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Time Out − Time of Call</w:t>
            </w:r>
          </w:p>
        </w:tc>
        <w:tc>
          <w:tcPr>
            <w:tcW w:type="dxa" w:w="42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Total time from citizen call to officer arrival — the community’s experience of response time.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Dispatch Processing Time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Time Dispatched − Time of Call</w:t>
            </w:r>
          </w:p>
        </w:tc>
        <w:tc>
          <w:tcPr>
            <w:tcW w:type="dxa" w:w="42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Time for dispatch to process, triage, and assign the call. Equals the gap between the two metrics above.</w:t>
            </w:r>
          </w:p>
        </w:tc>
      </w:tr>
    </w:tbl>
    <w:p>
      <w:pPr>
        <w:spacing w:before="80" w:after="60"/>
      </w:pPr>
      <w:r>
        <w:rPr>
          <w:rFonts w:ascii="Arial" w:cs="Arial" w:eastAsia="Arial" w:hAnsi="Arial"/>
          <w:sz w:val="19"/>
          <w:szCs w:val="19"/>
        </w:rPr>
        <w:t xml:space="preserve">Each metric independently requires valid timestamps in both of its columns. Record counts differ slightly across visuals because not every CAD record has all three timestamps populated. This is standard methodology.</w:t>
      </w:r>
    </w:p>
    <w:p>
      <w:pPr>
        <w:pStyle w:val="Heading1"/>
      </w:pPr>
      <w:r>
        <w:t xml:space="preserve">2. Current Values (January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Metric</w:t>
            </w:r>
          </w:p>
        </w:tc>
        <w:tc>
          <w:tcPr>
            <w:tcW w:type="dxa" w:w="2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Emergency</w:t>
            </w:r>
          </w:p>
        </w:tc>
        <w:tc>
          <w:tcPr>
            <w:tcW w:type="dxa" w:w="2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Routine</w:t>
            </w:r>
          </w:p>
        </w:tc>
        <w:tc>
          <w:tcPr>
            <w:tcW w:type="dxa" w:w="2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Urgent</w:t>
            </w:r>
          </w:p>
        </w:tc>
      </w:tr>
      <w:tr>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Dispatch to On Scene</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2:51  (257 calls)</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2:04  (1,075 calls)</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2:35  (950 calls)</w:t>
            </w:r>
          </w:p>
        </w:tc>
      </w:tr>
      <w:tr>
        <w:tc>
          <w:tcPr>
            <w:tcW w:type="dxa" w:w="36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Time Received to On Scene</w:t>
            </w:r>
          </w:p>
        </w:tc>
        <w:tc>
          <w:tcPr>
            <w:tcW w:type="dxa" w:w="2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4:41  (212 calls)</w:t>
            </w:r>
          </w:p>
        </w:tc>
        <w:tc>
          <w:tcPr>
            <w:tcW w:type="dxa" w:w="2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2:43  (840 calls)</w:t>
            </w:r>
          </w:p>
        </w:tc>
        <w:tc>
          <w:tcPr>
            <w:tcW w:type="dxa" w:w="2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3:05  (916 calls)</w:t>
            </w:r>
          </w:p>
        </w:tc>
      </w:tr>
      <w:tr>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Dispatch Processing Time</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2:48  (249 calls)</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2:01  (996 calls)</w:t>
            </w:r>
          </w:p>
        </w:tc>
        <w:tc>
          <w:tcPr>
            <w:tcW w:type="dxa" w:w="2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1:39  (1,080 calls)</w:t>
            </w:r>
          </w:p>
        </w:tc>
      </w:tr>
    </w:tbl>
    <w:p>
      <w:pPr>
        <w:pStyle w:val="Heading1"/>
      </w:pPr>
      <w:r>
        <w:t xml:space="preserve">3. Why Emergency Has a Larger Dispatch Processing Gap</w:t>
      </w:r>
    </w:p>
    <w:p>
      <w:pPr>
        <w:spacing w:before="60" w:after="40"/>
      </w:pPr>
      <w:r>
        <w:rPr>
          <w:rFonts w:ascii="Arial" w:cs="Arial" w:eastAsia="Arial" w:hAnsi="Arial"/>
          <w:sz w:val="19"/>
          <w:szCs w:val="19"/>
        </w:rPr>
        <w:t xml:space="preserve">Emergency calls show 4:41 total response versus 2:51 officer travel — approximately 1:50 in dispatch processing. This gap is larger for Emergency than other priorities because:</w:t>
      </w:r>
    </w:p>
    <w:p>
      <w:pPr>
        <w:pStyle w:val="ListParagraph"/>
        <w:numPr>
          <w:ilvl w:val="0"/>
          <w:numId w:val="2"/>
        </w:numPr>
        <w:spacing w:after="40"/>
      </w:pPr>
      <w:r>
        <w:rPr>
          <w:rFonts w:ascii="Arial" w:cs="Arial" w:eastAsia="Arial" w:hAnsi="Arial"/>
          <w:sz w:val="19"/>
          <w:szCs w:val="19"/>
        </w:rPr>
        <w:t xml:space="preserve">Dispatchers gather critical safety information (weapons, injuries, suspect descriptions, whether the incident is ongoing) before sending officers.</w:t>
      </w:r>
    </w:p>
    <w:p>
      <w:pPr>
        <w:pStyle w:val="ListParagraph"/>
        <w:numPr>
          <w:ilvl w:val="0"/>
          <w:numId w:val="2"/>
        </w:numPr>
        <w:spacing w:after="40"/>
      </w:pPr>
      <w:r>
        <w:rPr>
          <w:rFonts w:ascii="Arial" w:cs="Arial" w:eastAsia="Arial" w:hAnsi="Arial"/>
          <w:sz w:val="19"/>
          <w:szCs w:val="19"/>
        </w:rPr>
        <w:t xml:space="preserve">Emergency calls frequently require multiple responding units (28% of calls involve multiple officers), requiring additional coordination.</w:t>
      </w:r>
    </w:p>
    <w:p>
      <w:pPr>
        <w:pStyle w:val="ListParagraph"/>
        <w:numPr>
          <w:ilvl w:val="0"/>
          <w:numId w:val="2"/>
        </w:numPr>
        <w:spacing w:after="40"/>
      </w:pPr>
      <w:r>
        <w:rPr>
          <w:rFonts w:ascii="Arial" w:cs="Arial" w:eastAsia="Arial" w:hAnsi="Arial"/>
          <w:sz w:val="19"/>
          <w:szCs w:val="19"/>
        </w:rPr>
        <w:t xml:space="preserve">Supervisors may need to be notified before units are dispatched to certain Emergency call types.</w:t>
      </w:r>
    </w:p>
    <w:p>
      <w:pPr>
        <w:pStyle w:val="ListParagraph"/>
        <w:numPr>
          <w:ilvl w:val="0"/>
          <w:numId w:val="2"/>
        </w:numPr>
        <w:spacing w:after="40"/>
      </w:pPr>
      <w:r>
        <w:rPr>
          <w:rFonts w:ascii="Arial" w:cs="Arial" w:eastAsia="Arial" w:hAnsi="Arial"/>
          <w:sz w:val="19"/>
          <w:szCs w:val="19"/>
        </w:rPr>
        <w:t xml:space="preserve">Routine calls include officer-initiated activities (traffic stops, etc.) where the officer is already present and dispatch processing is minimal. Urgent calls often arrive from structured sources (alarm companies, transfers) with pre-formatted information.</w:t>
      </w:r>
    </w:p>
    <w:p>
      <w:pPr>
        <w:spacing w:before="40" w:after="60"/>
      </w:pPr>
      <w:r>
        <w:rPr>
          <w:rFonts w:ascii="Arial" w:cs="Arial" w:eastAsia="Arial" w:hAnsi="Arial"/>
          <w:sz w:val="19"/>
          <w:szCs w:val="19"/>
        </w:rPr>
        <w:t xml:space="preserve">This pattern is consistent across the full 13-month window and reflects the operational reality that higher-priority calls require more thorough dispatch processing to ensure officer and public safety.</w:t>
      </w:r>
    </w:p>
    <w:p>
      <w:pPr>
        <w:pStyle w:val="Heading1"/>
      </w:pPr>
      <w:r>
        <w:t xml:space="preserve">4. Data Quality Assurance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Item</w:t>
            </w:r>
          </w:p>
        </w:tc>
        <w:tc>
          <w:tcPr>
            <w:tcW w:type="dxa" w:w="74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tcPr>
          <w:p>
            <w:pPr>
              <w:jc w:val="left"/>
            </w:pPr>
            <w:r>
              <w:rPr>
                <w:rFonts w:ascii="Arial" w:cs="Arial" w:eastAsia="Arial" w:hAnsi="Arial"/>
                <w:b/>
                <w:bCs/>
                <w:color w:val="FFFFFF"/>
                <w:sz w:val="19"/>
                <w:szCs w:val="19"/>
              </w:rPr>
              <w:t xml:space="preserve">Status</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Data Source</w:t>
            </w:r>
          </w:p>
        </w:tc>
        <w:tc>
          <w:tcPr>
            <w:tcW w:type="dxa" w:w="74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Raw CAD timereport exports (2024–2026). Processed from original data, not pre-aggregated summaries.</w:t>
            </w:r>
          </w:p>
        </w:tc>
      </w:tr>
      <w:tr>
        <w:tc>
          <w:tcPr>
            <w:tcW w:type="dxa" w:w="26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Deduplication</w:t>
            </w:r>
          </w:p>
        </w:tc>
        <w:tc>
          <w:tcPr>
            <w:tcW w:type="dxa" w:w="74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Each incident counted once using the first officer to arrive on scene. Records sorted by arrival time before deduplication. Corrected and verified 2026-02-26.</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Activity Filter</w:t>
            </w:r>
          </w:p>
        </w:tc>
        <w:tc>
          <w:tcPr>
            <w:tcW w:type="dxa" w:w="74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101 administrative incident types excluded. Only public calls for service are measured. Implemented 2026-02-26.</w:t>
            </w:r>
          </w:p>
        </w:tc>
      </w:tr>
      <w:tr>
        <w:tc>
          <w:tcPr>
            <w:tcW w:type="dxa" w:w="26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Classification</w:t>
            </w:r>
          </w:p>
        </w:tc>
        <w:tc>
          <w:tcPr>
            <w:tcW w:type="dxa" w:w="74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99.99% of records classified via three-tier resolution (CAD value, 664-entry reference table, normalized matching). Fewer than 10 records excluded as unclassifiable.</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Outlier Handling</w:t>
            </w:r>
          </w:p>
        </w:tc>
        <w:tc>
          <w:tcPr>
            <w:tcW w:type="dxa" w:w="748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19"/>
                <w:szCs w:val="19"/>
              </w:rPr>
              <w:t xml:space="preserve">Response times outside 0–10 minutes excluded to remove data-entry errors. Applied consistently.</w:t>
            </w:r>
          </w:p>
        </w:tc>
      </w:tr>
      <w:tr>
        <w:tc>
          <w:tcPr>
            <w:tcW w:type="dxa" w:w="26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QA Status</w:t>
            </w:r>
          </w:p>
        </w:tc>
        <w:tc>
          <w:tcPr>
            <w:tcW w:type="dxa" w:w="74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19"/>
                <w:szCs w:val="19"/>
              </w:rPr>
              <w:t xml:space="preserve">All corrections applied, validated, and independently peer reviewed. 25 monthly files regenerated from raw CAD. Report reflects corrected methodology.</w:t>
            </w:r>
          </w:p>
        </w:tc>
      </w:tr>
    </w:tbl>
    <w:p>
      <w:pPr>
        <w:pBdr>
          <w:top w:val="single" w:color="1B3A5C" w:sz="3" w:space="1"/>
        </w:pBdr>
        <w:spacing w:before="180"/>
      </w:pPr>
      <w:r>
        <w:rPr>
          <w:rFonts w:ascii="Arial" w:cs="Arial" w:eastAsia="Arial" w:hAnsi="Arial"/>
          <w:i/>
          <w:iCs/>
          <w:color w:val="999999"/>
          <w:sz w:val="17"/>
          <w:szCs w:val="17"/>
        </w:rPr>
        <w:t xml:space="preserve">Contact: Principal Analyst R. A. Carucci  |  Master_Automation v1.17.16  |  Rolling 13 months ending January 2026</w:t>
      </w:r>
    </w:p>
    <w:sectPr>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2026-02-27T04:54:39.408Z</dcterms:created>
  <dcterms:modified xsi:type="dcterms:W3CDTF">2026-02-27T04:54:39.409Z</dcterms:modified>
</cp:coreProperties>
</file>

<file path=docProps/custom.xml><?xml version="1.0" encoding="utf-8"?>
<Properties xmlns="http://schemas.openxmlformats.org/officeDocument/2006/custom-properties" xmlns:vt="http://schemas.openxmlformats.org/officeDocument/2006/docPropsVTypes"/>
</file>