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数企通人资模块配置指引说明</w:t>
      </w:r>
    </w:p>
    <w:p>
      <w:pPr>
        <w:keepNext w:val="0"/>
        <w:keepLines w:val="0"/>
        <w:widowControl/>
        <w:numPr>
          <w:ilvl w:val="0"/>
          <w:numId w:val="0"/>
        </w:numPr>
        <w:suppressLineNumbers w:val="0"/>
        <w:spacing w:line="360" w:lineRule="auto"/>
        <w:ind w:firstLine="420" w:firstLineChars="200"/>
        <w:jc w:val="left"/>
        <w:textAlignment w:val="center"/>
        <w:rPr>
          <w:rFonts w:hint="eastAsia"/>
          <w:lang w:val="en-US" w:eastAsia="zh-CN"/>
        </w:rPr>
      </w:pPr>
      <w:r>
        <w:rPr>
          <w:rFonts w:hint="eastAsia" w:cs="宋体"/>
          <w:b w:val="0"/>
          <w:bCs w:val="0"/>
          <w:i w:val="0"/>
          <w:iCs w:val="0"/>
          <w:color w:val="000000"/>
          <w:kern w:val="0"/>
          <w:sz w:val="21"/>
          <w:szCs w:val="21"/>
          <w:u w:val="none"/>
          <w:lang w:val="en-US" w:eastAsia="zh-CN" w:bidi="ar"/>
        </w:rPr>
        <w:t>为保障您和您的企业便捷快速使用广发数企业通人资模块功能，给您带来更好的系统操作体验，您可按照配置指引页面说明进行配置，需要说明的是：</w:t>
      </w:r>
    </w:p>
    <w:p>
      <w:pPr>
        <w:pStyle w:val="2"/>
        <w:numPr>
          <w:ilvl w:val="0"/>
          <w:numId w:val="1"/>
        </w:numPr>
        <w:spacing w:line="360" w:lineRule="auto"/>
        <w:ind w:left="425" w:leftChars="0" w:hanging="425" w:firstLineChars="0"/>
        <w:rPr>
          <w:rFonts w:hint="eastAsia"/>
          <w:b w:val="0"/>
          <w:bCs w:val="0"/>
          <w:lang w:val="en-US" w:eastAsia="zh-CN"/>
        </w:rPr>
      </w:pPr>
      <w:r>
        <w:rPr>
          <w:rFonts w:hint="eastAsia"/>
          <w:b w:val="0"/>
          <w:bCs w:val="0"/>
          <w:lang w:val="en-US" w:eastAsia="zh-CN"/>
        </w:rPr>
        <w:t>数字人资配置指引页面中的【组织管理】和【员工管理】所有功能配置均为必须配置项。</w:t>
      </w:r>
    </w:p>
    <w:p>
      <w:pPr>
        <w:pStyle w:val="2"/>
        <w:numPr>
          <w:ilvl w:val="0"/>
          <w:numId w:val="1"/>
        </w:numPr>
        <w:spacing w:line="360" w:lineRule="auto"/>
        <w:ind w:left="425" w:leftChars="0" w:hanging="425" w:firstLineChars="0"/>
        <w:rPr>
          <w:rFonts w:hint="eastAsia"/>
          <w:b w:val="0"/>
          <w:bCs w:val="0"/>
          <w:lang w:val="en-US" w:eastAsia="zh-CN"/>
        </w:rPr>
      </w:pPr>
      <w:r>
        <w:rPr>
          <w:rFonts w:hint="eastAsia"/>
          <w:b w:val="0"/>
          <w:bCs w:val="0"/>
          <w:lang w:val="en-US" w:eastAsia="zh-CN"/>
        </w:rPr>
        <w:t>数字人资配置指引页面中的【考勤设置】和【薪酬代发】部分功能配置为必须配置项</w:t>
      </w:r>
    </w:p>
    <w:p>
      <w:pPr>
        <w:pStyle w:val="2"/>
        <w:numPr>
          <w:ilvl w:val="0"/>
          <w:numId w:val="1"/>
        </w:numPr>
        <w:spacing w:line="360" w:lineRule="auto"/>
        <w:ind w:left="425" w:leftChars="0" w:hanging="425" w:firstLineChars="0"/>
        <w:rPr>
          <w:rFonts w:hint="eastAsia"/>
          <w:b w:val="0"/>
          <w:bCs w:val="0"/>
          <w:lang w:val="en-US" w:eastAsia="zh-CN"/>
        </w:rPr>
      </w:pPr>
      <w:r>
        <w:rPr>
          <w:rFonts w:hint="eastAsia"/>
          <w:b w:val="0"/>
          <w:bCs w:val="0"/>
          <w:lang w:val="en-US" w:eastAsia="zh-CN"/>
        </w:rPr>
        <w:t>数字人资配置指引页面中的【审批管理】为非必须配置项。可以根据您和您的企业实际需要进行配置，这将不会影响您人资模块的正常使用。</w:t>
      </w:r>
    </w:p>
    <w:p>
      <w:pPr>
        <w:numPr>
          <w:ilvl w:val="0"/>
          <w:numId w:val="1"/>
        </w:numPr>
        <w:spacing w:line="360" w:lineRule="auto"/>
        <w:ind w:left="425" w:leftChars="0" w:hanging="425" w:firstLineChars="0"/>
        <w:rPr>
          <w:rFonts w:hint="eastAsia"/>
          <w:lang w:val="en-US" w:eastAsia="zh-CN"/>
        </w:rPr>
      </w:pPr>
      <w:r>
        <w:rPr>
          <w:rFonts w:hint="eastAsia" w:ascii="宋体" w:hAnsi="宋体" w:eastAsia="宋体" w:cs="Times New Roman"/>
          <w:b w:val="0"/>
          <w:bCs w:val="0"/>
          <w:kern w:val="2"/>
          <w:sz w:val="21"/>
          <w:szCs w:val="22"/>
          <w:lang w:val="en-US" w:eastAsia="zh-CN" w:bidi="ar-SA"/>
        </w:rPr>
        <w:t>如您已在数企通首页的【通讯录】完成组织管架构和员工信息的填写，则无需二次进入数字人资配置指引页面重复配置，</w:t>
      </w:r>
      <w:r>
        <w:rPr>
          <w:rFonts w:hint="eastAsia" w:cs="Times New Roman"/>
          <w:b w:val="0"/>
          <w:bCs w:val="0"/>
          <w:kern w:val="2"/>
          <w:sz w:val="21"/>
          <w:szCs w:val="22"/>
          <w:lang w:val="en-US" w:eastAsia="zh-CN" w:bidi="ar-SA"/>
        </w:rPr>
        <w:t>相关功能的</w:t>
      </w:r>
      <w:r>
        <w:rPr>
          <w:rFonts w:hint="eastAsia" w:ascii="宋体" w:hAnsi="宋体" w:eastAsia="宋体" w:cs="Times New Roman"/>
          <w:b w:val="0"/>
          <w:bCs w:val="0"/>
          <w:kern w:val="2"/>
          <w:sz w:val="21"/>
          <w:szCs w:val="22"/>
          <w:lang w:val="en-US" w:eastAsia="zh-CN" w:bidi="ar-SA"/>
        </w:rPr>
        <w:t>完成比例将自动同步。</w:t>
      </w:r>
    </w:p>
    <w:p>
      <w:pPr>
        <w:rPr>
          <w:rFonts w:hint="eastAsia"/>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cs="宋体"/>
          <w:b w:val="0"/>
          <w:bCs w:val="0"/>
          <w:i w:val="0"/>
          <w:iCs w:val="0"/>
          <w:color w:val="000000"/>
          <w:kern w:val="0"/>
          <w:sz w:val="21"/>
          <w:szCs w:val="21"/>
          <w:u w:val="none"/>
          <w:lang w:val="en-US" w:eastAsia="zh-CN" w:bidi="ar"/>
        </w:rPr>
        <w:t>您可依据您和您的企业使用数企通人资模块的习惯，按照配置指引页面提示完成配置。以下是涉及到该模块配置的</w:t>
      </w:r>
      <w:r>
        <w:rPr>
          <w:rFonts w:hint="default" w:cs="宋体"/>
          <w:b w:val="0"/>
          <w:bCs w:val="0"/>
          <w:i w:val="0"/>
          <w:iCs w:val="0"/>
          <w:color w:val="000000"/>
          <w:kern w:val="0"/>
          <w:sz w:val="21"/>
          <w:szCs w:val="21"/>
          <w:u w:val="none"/>
          <w:lang w:val="en-US" w:eastAsia="zh-CN" w:bidi="ar"/>
        </w:rPr>
        <w:t>2</w:t>
      </w:r>
      <w:r>
        <w:rPr>
          <w:rFonts w:hint="eastAsia" w:cs="宋体"/>
          <w:b w:val="0"/>
          <w:bCs w:val="0"/>
          <w:i w:val="0"/>
          <w:iCs w:val="0"/>
          <w:color w:val="000000"/>
          <w:kern w:val="0"/>
          <w:sz w:val="21"/>
          <w:szCs w:val="21"/>
          <w:u w:val="none"/>
          <w:lang w:val="en-US" w:eastAsia="zh-CN" w:bidi="ar"/>
        </w:rPr>
        <w:t>个业务场景供您参考：</w:t>
      </w:r>
    </w:p>
    <w:p>
      <w:pPr>
        <w:numPr>
          <w:ilvl w:val="0"/>
          <w:numId w:val="2"/>
        </w:numPr>
        <w:spacing w:line="360" w:lineRule="auto"/>
        <w:ind w:left="420" w:leftChars="0" w:hanging="420" w:firstLineChars="0"/>
        <w:rPr>
          <w:rFonts w:hint="default"/>
          <w:b w:val="0"/>
          <w:bCs w:val="0"/>
          <w:lang w:val="en-US" w:eastAsia="zh-CN"/>
        </w:rPr>
      </w:pPr>
      <w:r>
        <w:rPr>
          <w:rFonts w:hint="eastAsia"/>
          <w:b w:val="0"/>
          <w:bCs w:val="0"/>
          <w:lang w:val="en-US" w:eastAsia="zh-CN"/>
        </w:rPr>
        <w:t>工资代发场景：需要使用人资系统记录的员工考勤数据通过薪资计算方式进行工资代发的，请参考</w:t>
      </w:r>
      <w:r>
        <w:rPr>
          <w:rFonts w:hint="eastAsia" w:cs="宋体"/>
          <w:b w:val="0"/>
          <w:bCs w:val="0"/>
          <w:i w:val="0"/>
          <w:iCs w:val="0"/>
          <w:color w:val="000000"/>
          <w:kern w:val="0"/>
          <w:sz w:val="21"/>
          <w:szCs w:val="21"/>
          <w:u w:val="none"/>
          <w:lang w:val="en-US" w:eastAsia="zh-CN" w:bidi="ar"/>
        </w:rPr>
        <w:t>配置指引页面说明完成【考勤设置】</w:t>
      </w:r>
      <w:r>
        <w:rPr>
          <w:rFonts w:hint="default" w:cs="宋体"/>
          <w:b w:val="0"/>
          <w:bCs w:val="0"/>
          <w:i w:val="0"/>
          <w:iCs w:val="0"/>
          <w:color w:val="000000"/>
          <w:kern w:val="0"/>
          <w:sz w:val="21"/>
          <w:szCs w:val="21"/>
          <w:u w:val="none"/>
          <w:lang w:val="en-US" w:eastAsia="zh-CN" w:bidi="ar"/>
        </w:rPr>
        <w:t>-</w:t>
      </w:r>
      <w:r>
        <w:rPr>
          <w:rFonts w:hint="eastAsia" w:cs="宋体"/>
          <w:b w:val="0"/>
          <w:bCs w:val="0"/>
          <w:i w:val="0"/>
          <w:iCs w:val="0"/>
          <w:color w:val="000000"/>
          <w:kern w:val="0"/>
          <w:sz w:val="21"/>
          <w:szCs w:val="21"/>
          <w:u w:val="none"/>
          <w:lang w:val="en-US" w:eastAsia="zh-CN" w:bidi="ar"/>
        </w:rPr>
        <w:t>【</w:t>
      </w:r>
      <w:r>
        <w:rPr>
          <w:rFonts w:hint="eastAsia" w:ascii="宋体" w:hAnsi="宋体" w:eastAsia="宋体" w:cs="宋体"/>
          <w:b w:val="0"/>
          <w:bCs w:val="0"/>
          <w:i w:val="0"/>
          <w:iCs w:val="0"/>
          <w:color w:val="000000"/>
          <w:kern w:val="0"/>
          <w:sz w:val="21"/>
          <w:szCs w:val="21"/>
          <w:u w:val="none"/>
          <w:lang w:val="en-US" w:eastAsia="zh-CN" w:bidi="ar"/>
        </w:rPr>
        <w:t>考勤组管理</w:t>
      </w:r>
      <w:r>
        <w:rPr>
          <w:rFonts w:hint="eastAsia" w:cs="宋体"/>
          <w:b w:val="0"/>
          <w:bCs w:val="0"/>
          <w:i w:val="0"/>
          <w:iCs w:val="0"/>
          <w:color w:val="000000"/>
          <w:kern w:val="0"/>
          <w:sz w:val="21"/>
          <w:szCs w:val="21"/>
          <w:u w:val="none"/>
          <w:lang w:val="en-US" w:eastAsia="zh-CN" w:bidi="ar"/>
        </w:rPr>
        <w:t>】和【假期类型】，以及【</w:t>
      </w:r>
      <w:r>
        <w:rPr>
          <w:rFonts w:hint="eastAsia" w:ascii="宋体" w:hAnsi="宋体" w:eastAsia="宋体" w:cs="宋体"/>
          <w:i w:val="0"/>
          <w:iCs w:val="0"/>
          <w:color w:val="000000"/>
          <w:kern w:val="0"/>
          <w:sz w:val="21"/>
          <w:szCs w:val="21"/>
          <w:u w:val="none"/>
          <w:lang w:val="en-US" w:eastAsia="zh-CN" w:bidi="ar"/>
        </w:rPr>
        <w:t>薪税</w:t>
      </w:r>
      <w:r>
        <w:rPr>
          <w:rFonts w:hint="eastAsia" w:cs="宋体"/>
          <w:i w:val="0"/>
          <w:iCs w:val="0"/>
          <w:color w:val="000000"/>
          <w:kern w:val="0"/>
          <w:sz w:val="21"/>
          <w:szCs w:val="21"/>
          <w:u w:val="none"/>
          <w:lang w:val="en-US" w:eastAsia="zh-CN" w:bidi="ar"/>
        </w:rPr>
        <w:t>代发】</w:t>
      </w:r>
      <w:r>
        <w:rPr>
          <w:rFonts w:hint="default" w:cs="宋体"/>
          <w:i w:val="0"/>
          <w:iCs w:val="0"/>
          <w:color w:val="000000"/>
          <w:kern w:val="0"/>
          <w:sz w:val="21"/>
          <w:szCs w:val="21"/>
          <w:u w:val="none"/>
          <w:lang w:val="en-US" w:eastAsia="zh-CN" w:bidi="ar"/>
        </w:rPr>
        <w:t>-</w:t>
      </w:r>
      <w:r>
        <w:rPr>
          <w:rFonts w:hint="eastAsia" w:cs="宋体"/>
          <w:i w:val="0"/>
          <w:iCs w:val="0"/>
          <w:color w:val="000000"/>
          <w:kern w:val="0"/>
          <w:sz w:val="21"/>
          <w:szCs w:val="21"/>
          <w:u w:val="none"/>
          <w:lang w:val="en-US" w:eastAsia="zh-CN" w:bidi="ar"/>
        </w:rPr>
        <w:t>【参保方案】和【计薪规则】</w:t>
      </w:r>
      <w:r>
        <w:rPr>
          <w:rFonts w:hint="eastAsia" w:cs="宋体"/>
          <w:b w:val="0"/>
          <w:bCs w:val="0"/>
          <w:i w:val="0"/>
          <w:iCs w:val="0"/>
          <w:color w:val="000000"/>
          <w:kern w:val="0"/>
          <w:sz w:val="21"/>
          <w:szCs w:val="21"/>
          <w:u w:val="none"/>
          <w:lang w:val="en-US" w:eastAsia="zh-CN" w:bidi="ar"/>
        </w:rPr>
        <w:t>的相关功能配置。如您和您的企业仅通过【薪税管理】</w:t>
      </w:r>
      <w:r>
        <w:rPr>
          <w:rFonts w:hint="default" w:cs="宋体"/>
          <w:b w:val="0"/>
          <w:bCs w:val="0"/>
          <w:i w:val="0"/>
          <w:iCs w:val="0"/>
          <w:color w:val="000000"/>
          <w:kern w:val="0"/>
          <w:sz w:val="21"/>
          <w:szCs w:val="21"/>
          <w:u w:val="none"/>
          <w:lang w:val="en-US" w:eastAsia="zh-CN" w:bidi="ar"/>
        </w:rPr>
        <w:t>-</w:t>
      </w:r>
      <w:r>
        <w:rPr>
          <w:rFonts w:hint="eastAsia" w:cs="宋体"/>
          <w:b w:val="0"/>
          <w:bCs w:val="0"/>
          <w:i w:val="0"/>
          <w:iCs w:val="0"/>
          <w:color w:val="000000"/>
          <w:kern w:val="0"/>
          <w:sz w:val="21"/>
          <w:szCs w:val="21"/>
          <w:u w:val="none"/>
          <w:lang w:val="en-US" w:eastAsia="zh-CN" w:bidi="ar"/>
        </w:rPr>
        <w:t>【代发申请】中上传代发文件的方式操作代发，则可以不用配置这</w:t>
      </w:r>
      <w:r>
        <w:rPr>
          <w:rFonts w:hint="default" w:cs="宋体"/>
          <w:b w:val="0"/>
          <w:bCs w:val="0"/>
          <w:i w:val="0"/>
          <w:iCs w:val="0"/>
          <w:color w:val="000000"/>
          <w:kern w:val="0"/>
          <w:sz w:val="21"/>
          <w:szCs w:val="21"/>
          <w:u w:val="none"/>
          <w:lang w:val="en-US" w:eastAsia="zh-CN" w:bidi="ar"/>
        </w:rPr>
        <w:t>2</w:t>
      </w:r>
      <w:r>
        <w:rPr>
          <w:rFonts w:hint="eastAsia" w:cs="宋体"/>
          <w:b w:val="0"/>
          <w:bCs w:val="0"/>
          <w:i w:val="0"/>
          <w:iCs w:val="0"/>
          <w:color w:val="000000"/>
          <w:kern w:val="0"/>
          <w:sz w:val="21"/>
          <w:szCs w:val="21"/>
          <w:u w:val="none"/>
          <w:lang w:val="en-US" w:eastAsia="zh-CN" w:bidi="ar"/>
        </w:rPr>
        <w:t>个模块的相关功能。</w:t>
      </w:r>
    </w:p>
    <w:p>
      <w:pPr>
        <w:numPr>
          <w:ilvl w:val="0"/>
          <w:numId w:val="2"/>
        </w:numPr>
        <w:spacing w:line="360" w:lineRule="auto"/>
        <w:ind w:left="420" w:leftChars="0" w:hanging="420" w:firstLineChars="0"/>
        <w:rPr>
          <w:rFonts w:hint="eastAsia"/>
          <w:lang w:val="en-US" w:eastAsia="zh-CN"/>
        </w:rPr>
      </w:pPr>
      <w:r>
        <w:rPr>
          <w:rFonts w:hint="eastAsia"/>
          <w:b w:val="0"/>
          <w:bCs w:val="0"/>
          <w:lang w:val="en-US" w:eastAsia="zh-CN"/>
        </w:rPr>
        <w:t>考勤休假场景：需要使用人资进行员工的考勤打卡、出差休假等考勤相关功能的，请参考</w:t>
      </w:r>
      <w:r>
        <w:rPr>
          <w:rFonts w:hint="eastAsia" w:cs="宋体"/>
          <w:b w:val="0"/>
          <w:bCs w:val="0"/>
          <w:i w:val="0"/>
          <w:iCs w:val="0"/>
          <w:color w:val="000000"/>
          <w:kern w:val="0"/>
          <w:sz w:val="21"/>
          <w:szCs w:val="21"/>
          <w:u w:val="none"/>
          <w:lang w:val="en-US" w:eastAsia="zh-CN" w:bidi="ar"/>
        </w:rPr>
        <w:t>配置指引页面说明完成【考勤设置】</w:t>
      </w:r>
      <w:r>
        <w:rPr>
          <w:rFonts w:hint="default" w:cs="宋体"/>
          <w:b w:val="0"/>
          <w:bCs w:val="0"/>
          <w:i w:val="0"/>
          <w:iCs w:val="0"/>
          <w:color w:val="000000"/>
          <w:kern w:val="0"/>
          <w:sz w:val="21"/>
          <w:szCs w:val="21"/>
          <w:u w:val="none"/>
          <w:lang w:val="en-US" w:eastAsia="zh-CN" w:bidi="ar"/>
        </w:rPr>
        <w:t>-</w:t>
      </w:r>
      <w:r>
        <w:rPr>
          <w:rFonts w:hint="eastAsia" w:cs="宋体"/>
          <w:b w:val="0"/>
          <w:bCs w:val="0"/>
          <w:i w:val="0"/>
          <w:iCs w:val="0"/>
          <w:color w:val="000000"/>
          <w:kern w:val="0"/>
          <w:sz w:val="21"/>
          <w:szCs w:val="21"/>
          <w:u w:val="none"/>
          <w:lang w:val="en-US" w:eastAsia="zh-CN" w:bidi="ar"/>
        </w:rPr>
        <w:t>【</w:t>
      </w:r>
      <w:r>
        <w:rPr>
          <w:rFonts w:hint="eastAsia" w:ascii="宋体" w:hAnsi="宋体" w:eastAsia="宋体" w:cs="宋体"/>
          <w:b w:val="0"/>
          <w:bCs w:val="0"/>
          <w:i w:val="0"/>
          <w:iCs w:val="0"/>
          <w:color w:val="000000"/>
          <w:kern w:val="0"/>
          <w:sz w:val="21"/>
          <w:szCs w:val="21"/>
          <w:u w:val="none"/>
          <w:lang w:val="en-US" w:eastAsia="zh-CN" w:bidi="ar"/>
        </w:rPr>
        <w:t>考勤组管理</w:t>
      </w:r>
      <w:r>
        <w:rPr>
          <w:rFonts w:hint="eastAsia" w:cs="宋体"/>
          <w:b w:val="0"/>
          <w:bCs w:val="0"/>
          <w:i w:val="0"/>
          <w:iCs w:val="0"/>
          <w:color w:val="000000"/>
          <w:kern w:val="0"/>
          <w:sz w:val="21"/>
          <w:szCs w:val="21"/>
          <w:u w:val="none"/>
          <w:lang w:val="en-US" w:eastAsia="zh-CN" w:bidi="ar"/>
        </w:rPr>
        <w:t>】和【假期类型】的相关功能配置。配置后，员工将可以通过移动端进行移动打卡、休假或出差申请等操作。</w:t>
      </w:r>
    </w:p>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目前人资模块配置指引涉及到的内容、完成条件与配置完成比例如下：</w:t>
      </w:r>
    </w:p>
    <w:tbl>
      <w:tblPr>
        <w:tblStyle w:val="8"/>
        <w:tblW w:w="506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670"/>
        <w:gridCol w:w="1091"/>
        <w:gridCol w:w="1317"/>
        <w:gridCol w:w="2767"/>
        <w:gridCol w:w="1982"/>
        <w:gridCol w:w="7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序号</w:t>
            </w:r>
          </w:p>
        </w:tc>
        <w:tc>
          <w:tcPr>
            <w:tcW w:w="632"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菜单</w:t>
            </w: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功能</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说明</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完成条件</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配置完成比例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632" w:type="pct"/>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组织管理</w:t>
            </w: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组织架构</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配置您企业的部门架构信息</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组织中至少存在一个子部门</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岗位管理</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配置您企业的岗位信息</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组织中至少存在一个岗位</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632" w:type="pct"/>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员工管理</w:t>
            </w: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员工信息设置</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定制您企业的专属员工信息页面</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进入界面</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入职管理</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生成企业入职二维码信息</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至少生成一个二维码信息</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创建入职审批流程</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left"/>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kern w:val="0"/>
                <w:sz w:val="21"/>
                <w:szCs w:val="21"/>
                <w:u w:val="none"/>
                <w:lang w:val="en-US" w:eastAsia="zh-CN" w:bidi="ar"/>
              </w:rPr>
              <w:t>至少添加一个</w:t>
            </w:r>
            <w:r>
              <w:rPr>
                <w:rFonts w:hint="eastAsia" w:cs="宋体"/>
                <w:i w:val="0"/>
                <w:iCs w:val="0"/>
                <w:color w:val="000000"/>
                <w:kern w:val="0"/>
                <w:sz w:val="21"/>
                <w:szCs w:val="21"/>
                <w:u w:val="none"/>
                <w:lang w:val="en-US" w:eastAsia="zh-CN" w:bidi="ar"/>
              </w:rPr>
              <w:t>入职审批流程</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转正管理</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创建转正审批流程</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left"/>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w:t>
            </w:r>
            <w:r>
              <w:rPr>
                <w:rFonts w:hint="eastAsia" w:cs="宋体"/>
                <w:i w:val="0"/>
                <w:iCs w:val="0"/>
                <w:color w:val="000000"/>
                <w:kern w:val="0"/>
                <w:sz w:val="21"/>
                <w:szCs w:val="21"/>
                <w:u w:val="none"/>
                <w:lang w:val="en-US" w:eastAsia="zh-CN" w:bidi="ar"/>
              </w:rPr>
              <w:t>转正</w:t>
            </w:r>
            <w:bookmarkStart w:id="0" w:name="_GoBack"/>
            <w:bookmarkEnd w:id="0"/>
            <w:r>
              <w:rPr>
                <w:rFonts w:hint="eastAsia" w:cs="宋体"/>
                <w:i w:val="0"/>
                <w:iCs w:val="0"/>
                <w:color w:val="000000"/>
                <w:kern w:val="0"/>
                <w:sz w:val="21"/>
                <w:szCs w:val="21"/>
                <w:u w:val="none"/>
                <w:lang w:val="en-US" w:eastAsia="zh-CN" w:bidi="ar"/>
              </w:rPr>
              <w:t>审批流程</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花名册</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初始化员工花名册信息</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花名册中至少有一个员工</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cs="宋体"/>
                <w:i w:val="0"/>
                <w:iCs w:val="0"/>
                <w:color w:val="000000"/>
                <w:kern w:val="0"/>
                <w:sz w:val="21"/>
                <w:szCs w:val="21"/>
                <w:u w:val="none"/>
                <w:lang w:val="en-US" w:eastAsia="zh-CN" w:bidi="ar"/>
              </w:rPr>
              <w:t>10</w:t>
            </w: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632" w:type="pct"/>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highlight w:val="none"/>
                <w:u w:val="none"/>
                <w:lang w:val="en-US" w:eastAsia="zh-CN" w:bidi="ar"/>
              </w:rPr>
              <w:t>考勤设置</w:t>
            </w: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考勤组管理</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设置您企业的考勤管理方式</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至少有一个考勤组</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配置您企业的请假审批流程</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至少添加一个请假类型审批</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配置您企业的外出审批流程</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至少添加一个外出类型审批</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配置您企业的补卡审批流程</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至少添加一个补卡类型审批</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配置您企业的加班审批流程</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至少添加一个加班类型审批</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假期类型</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配置您企业的假期类型</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至少添加一个假期类型</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632" w:type="pct"/>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薪税</w:t>
            </w:r>
            <w:r>
              <w:rPr>
                <w:rFonts w:hint="eastAsia" w:cs="宋体"/>
                <w:i w:val="0"/>
                <w:iCs w:val="0"/>
                <w:color w:val="000000"/>
                <w:kern w:val="0"/>
                <w:sz w:val="21"/>
                <w:szCs w:val="21"/>
                <w:u w:val="none"/>
                <w:lang w:val="en-US" w:eastAsia="zh-CN" w:bidi="ar"/>
              </w:rPr>
              <w:t>代发</w:t>
            </w: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参保方案</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配置您企业的社保方案</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至少添加一个参保方案</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97"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计薪规则</w:t>
            </w:r>
          </w:p>
        </w:tc>
        <w:tc>
          <w:tcPr>
            <w:tcW w:w="1603" w:type="pct"/>
            <w:tcBorders>
              <w:top w:val="single" w:color="000000" w:sz="4" w:space="0"/>
              <w:left w:val="nil"/>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配置您企业迟到早退等考勤扣款方案</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至少添加一个方案</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1603" w:type="pct"/>
            <w:tcBorders>
              <w:top w:val="single" w:color="000000" w:sz="4" w:space="0"/>
              <w:left w:val="nil"/>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配置您企业的请假扣款方案</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至少添加一个方案</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632"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763" w:type="pct"/>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sz w:val="21"/>
                <w:szCs w:val="21"/>
                <w:u w:val="none"/>
              </w:rPr>
            </w:pPr>
          </w:p>
        </w:tc>
        <w:tc>
          <w:tcPr>
            <w:tcW w:w="1603" w:type="pct"/>
            <w:tcBorders>
              <w:top w:val="single" w:color="000000" w:sz="4" w:space="0"/>
              <w:left w:val="nil"/>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配置您企业的电脑补助、交通补贴、餐补、通讯补贴方案</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至少添加一个方案</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20" w:hRule="atLeast"/>
        </w:trPr>
        <w:tc>
          <w:tcPr>
            <w:tcW w:w="38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宋体" w:hAnsi="宋体" w:eastAsia="宋体" w:cs="宋体"/>
                <w:i w:val="0"/>
                <w:iCs w:val="0"/>
                <w:color w:val="000000" w:themeColor="text1"/>
                <w:sz w:val="21"/>
                <w:szCs w:val="21"/>
                <w:highlight w:val="none"/>
                <w:u w:val="none"/>
                <w:lang w:val="en-US"/>
                <w14:textFill>
                  <w14:solidFill>
                    <w14:schemeClr w14:val="tx1"/>
                  </w14:solidFill>
                </w14:textFill>
              </w:rPr>
            </w:pPr>
            <w:r>
              <w:rPr>
                <w:rFonts w:hint="eastAsia" w:ascii="宋体" w:hAnsi="宋体" w:eastAsia="宋体" w:cs="宋体"/>
                <w:i w:val="0"/>
                <w:iCs w:val="0"/>
                <w:color w:val="000000" w:themeColor="text1"/>
                <w:kern w:val="0"/>
                <w:sz w:val="21"/>
                <w:szCs w:val="21"/>
                <w:highlight w:val="none"/>
                <w:u w:val="none"/>
                <w:lang w:val="en-US" w:eastAsia="zh-CN" w:bidi="ar"/>
                <w14:textFill>
                  <w14:solidFill>
                    <w14:schemeClr w14:val="tx1"/>
                  </w14:solidFill>
                </w14:textFill>
              </w:rPr>
              <w:t>1</w:t>
            </w:r>
            <w:r>
              <w:rPr>
                <w:rFonts w:hint="default" w:cs="宋体"/>
                <w:i w:val="0"/>
                <w:iCs w:val="0"/>
                <w:color w:val="000000" w:themeColor="text1"/>
                <w:kern w:val="0"/>
                <w:sz w:val="21"/>
                <w:szCs w:val="21"/>
                <w:highlight w:val="none"/>
                <w:u w:val="none"/>
                <w:lang w:val="en-US" w:eastAsia="zh-CN" w:bidi="ar"/>
                <w14:textFill>
                  <w14:solidFill>
                    <w14:schemeClr w14:val="tx1"/>
                  </w14:solidFill>
                </w14:textFill>
              </w:rPr>
              <w:t>8</w:t>
            </w:r>
          </w:p>
        </w:tc>
        <w:tc>
          <w:tcPr>
            <w:tcW w:w="632"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i w:val="0"/>
                <w:iCs w:val="0"/>
                <w:color w:val="000000" w:themeColor="text1"/>
                <w:sz w:val="21"/>
                <w:szCs w:val="21"/>
                <w:highlight w:val="none"/>
                <w:u w:val="none"/>
                <w:lang w:val="en-US"/>
                <w14:textFill>
                  <w14:solidFill>
                    <w14:schemeClr w14:val="tx1"/>
                  </w14:solidFill>
                </w14:textFill>
              </w:rPr>
            </w:pPr>
            <w:r>
              <w:rPr>
                <w:rFonts w:hint="eastAsia" w:cs="宋体"/>
                <w:i w:val="0"/>
                <w:iCs w:val="0"/>
                <w:color w:val="000000" w:themeColor="text1"/>
                <w:sz w:val="21"/>
                <w:szCs w:val="21"/>
                <w:highlight w:val="none"/>
                <w:u w:val="none"/>
                <w:lang w:eastAsia="zh-CN"/>
                <w14:textFill>
                  <w14:solidFill>
                    <w14:schemeClr w14:val="tx1"/>
                  </w14:solidFill>
                </w14:textFill>
              </w:rPr>
              <w:t>审批</w:t>
            </w:r>
            <w:r>
              <w:rPr>
                <w:rFonts w:hint="eastAsia" w:cs="宋体"/>
                <w:i w:val="0"/>
                <w:iCs w:val="0"/>
                <w:color w:val="000000" w:themeColor="text1"/>
                <w:sz w:val="21"/>
                <w:szCs w:val="21"/>
                <w:highlight w:val="none"/>
                <w:u w:val="none"/>
                <w:lang w:val="en-US" w:eastAsia="zh-CN"/>
                <w14:textFill>
                  <w14:solidFill>
                    <w14:schemeClr w14:val="tx1"/>
                  </w14:solidFill>
                </w14:textFill>
              </w:rPr>
              <w:t>管理</w:t>
            </w:r>
          </w:p>
        </w:tc>
        <w:tc>
          <w:tcPr>
            <w:tcW w:w="7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iCs w:val="0"/>
                <w:color w:val="000000" w:themeColor="text1"/>
                <w:sz w:val="21"/>
                <w:szCs w:val="21"/>
                <w:highlight w:val="none"/>
                <w:u w:val="none"/>
                <w14:textFill>
                  <w14:solidFill>
                    <w14:schemeClr w14:val="tx1"/>
                  </w14:solidFill>
                </w14:textFill>
              </w:rPr>
            </w:pPr>
            <w:r>
              <w:rPr>
                <w:rFonts w:hint="eastAsia" w:cs="宋体"/>
                <w:i w:val="0"/>
                <w:iCs w:val="0"/>
                <w:color w:val="000000" w:themeColor="text1"/>
                <w:sz w:val="21"/>
                <w:szCs w:val="21"/>
                <w:highlight w:val="none"/>
                <w:u w:val="none"/>
                <w:lang w:eastAsia="zh-CN"/>
                <w14:textFill>
                  <w14:solidFill>
                    <w14:schemeClr w14:val="tx1"/>
                  </w14:solidFill>
                </w14:textFill>
              </w:rPr>
              <w:t>单据管理</w:t>
            </w:r>
          </w:p>
        </w:tc>
        <w:tc>
          <w:tcPr>
            <w:tcW w:w="160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themeColor="text1"/>
                <w:sz w:val="21"/>
                <w:szCs w:val="21"/>
                <w:highlight w:val="none"/>
                <w:u w:val="none"/>
                <w:lang w:eastAsia="zh-CN"/>
                <w14:textFill>
                  <w14:solidFill>
                    <w14:schemeClr w14:val="tx1"/>
                  </w14:solidFill>
                </w14:textFill>
              </w:rPr>
            </w:pPr>
            <w:r>
              <w:rPr>
                <w:rFonts w:hint="eastAsia" w:cs="宋体"/>
                <w:i w:val="0"/>
                <w:iCs w:val="0"/>
                <w:color w:val="000000" w:themeColor="text1"/>
                <w:sz w:val="21"/>
                <w:szCs w:val="21"/>
                <w:highlight w:val="none"/>
                <w:u w:val="none"/>
                <w:lang w:eastAsia="zh-CN"/>
                <w14:textFill>
                  <w14:solidFill>
                    <w14:schemeClr w14:val="tx1"/>
                  </w14:solidFill>
                </w14:textFill>
              </w:rPr>
              <w:t>新建一个单据分组</w:t>
            </w:r>
          </w:p>
        </w:tc>
        <w:tc>
          <w:tcPr>
            <w:tcW w:w="114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left"/>
              <w:textAlignment w:val="center"/>
              <w:rPr>
                <w:rFonts w:hint="eastAsia" w:ascii="宋体" w:hAnsi="宋体" w:eastAsia="宋体" w:cs="宋体"/>
                <w:i w:val="0"/>
                <w:iCs w:val="0"/>
                <w:color w:val="000000" w:themeColor="text1"/>
                <w:sz w:val="21"/>
                <w:szCs w:val="21"/>
                <w:highlight w:val="none"/>
                <w:u w:val="none"/>
                <w14:textFill>
                  <w14:solidFill>
                    <w14:schemeClr w14:val="tx1"/>
                  </w14:solidFill>
                </w14:textFill>
              </w:rPr>
            </w:pPr>
            <w:r>
              <w:rPr>
                <w:rFonts w:hint="eastAsia" w:ascii="宋体" w:hAnsi="宋体" w:eastAsia="宋体" w:cs="宋体"/>
                <w:i w:val="0"/>
                <w:iCs w:val="0"/>
                <w:color w:val="000000" w:themeColor="text1"/>
                <w:kern w:val="0"/>
                <w:sz w:val="21"/>
                <w:szCs w:val="21"/>
                <w:highlight w:val="none"/>
                <w:u w:val="none"/>
                <w:lang w:val="en-US" w:eastAsia="zh-CN" w:bidi="ar"/>
                <w14:textFill>
                  <w14:solidFill>
                    <w14:schemeClr w14:val="tx1"/>
                  </w14:solidFill>
                </w14:textFill>
              </w:rPr>
              <w:t>至少</w:t>
            </w:r>
            <w:r>
              <w:rPr>
                <w:rFonts w:hint="eastAsia" w:cs="宋体"/>
                <w:i w:val="0"/>
                <w:iCs w:val="0"/>
                <w:color w:val="000000" w:themeColor="text1"/>
                <w:kern w:val="0"/>
                <w:sz w:val="21"/>
                <w:szCs w:val="21"/>
                <w:highlight w:val="none"/>
                <w:u w:val="none"/>
                <w:lang w:val="en-US" w:eastAsia="zh-CN" w:bidi="ar"/>
                <w14:textFill>
                  <w14:solidFill>
                    <w14:schemeClr w14:val="tx1"/>
                  </w14:solidFill>
                </w14:textFill>
              </w:rPr>
              <w:t>新增一条单据分组</w:t>
            </w:r>
          </w:p>
        </w:tc>
        <w:tc>
          <w:tcPr>
            <w:tcW w:w="463"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eastAsia" w:ascii="宋体" w:hAnsi="宋体" w:eastAsia="宋体" w:cs="宋体"/>
                <w:i w:val="0"/>
                <w:iCs w:val="0"/>
                <w:color w:val="000000" w:themeColor="text1"/>
                <w:sz w:val="21"/>
                <w:szCs w:val="21"/>
                <w:highlight w:val="none"/>
                <w:u w:val="none"/>
                <w14:textFill>
                  <w14:solidFill>
                    <w14:schemeClr w14:val="tx1"/>
                  </w14:solidFill>
                </w14:textFill>
              </w:rPr>
            </w:pPr>
            <w:r>
              <w:rPr>
                <w:rFonts w:hint="eastAsia" w:cs="宋体"/>
                <w:i w:val="0"/>
                <w:iCs w:val="0"/>
                <w:color w:val="000000" w:themeColor="text1"/>
                <w:kern w:val="0"/>
                <w:sz w:val="21"/>
                <w:szCs w:val="21"/>
                <w:highlight w:val="none"/>
                <w:u w:val="none"/>
                <w:lang w:val="en-US" w:eastAsia="zh-CN" w:bidi="ar"/>
                <w14:textFill>
                  <w14:solidFill>
                    <w14:schemeClr w14:val="tx1"/>
                  </w14:solidFill>
                </w14:textFill>
              </w:rPr>
              <w:t>10</w:t>
            </w:r>
            <w:r>
              <w:rPr>
                <w:rFonts w:hint="eastAsia" w:ascii="宋体" w:hAnsi="宋体" w:eastAsia="宋体" w:cs="宋体"/>
                <w:i w:val="0"/>
                <w:iCs w:val="0"/>
                <w:color w:val="000000" w:themeColor="text1"/>
                <w:kern w:val="0"/>
                <w:sz w:val="21"/>
                <w:szCs w:val="21"/>
                <w:highlight w:val="none"/>
                <w:u w:val="none"/>
                <w:lang w:val="en-US" w:eastAsia="zh-CN" w:bidi="ar"/>
                <w14:textFill>
                  <w14:solidFill>
                    <w14:schemeClr w14:val="tx1"/>
                  </w14:solidFill>
                </w14:textFill>
              </w:rPr>
              <w:t>%</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eastAsia="宋体"/>
        <w:lang w:eastAsia="zh-CN"/>
      </w:rPr>
    </w:pPr>
    <w:r>
      <w:rPr>
        <w:rFonts w:hint="eastAsia" w:eastAsia="宋体"/>
        <w:lang w:eastAsia="zh-CN"/>
      </w:rPr>
      <w:drawing>
        <wp:inline distT="0" distB="0" distL="114300" distR="114300">
          <wp:extent cx="1790700" cy="581025"/>
          <wp:effectExtent l="0" t="0" r="0" b="0"/>
          <wp:docPr id="1" name="图片 1" descr="20180314-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314-new-logo"/>
                  <pic:cNvPicPr>
                    <a:picLocks noChangeAspect="1"/>
                  </pic:cNvPicPr>
                </pic:nvPicPr>
                <pic:blipFill>
                  <a:blip r:embed="rId1"/>
                  <a:stretch>
                    <a:fillRect/>
                  </a:stretch>
                </pic:blipFill>
                <pic:spPr>
                  <a:xfrm>
                    <a:off x="0" y="0"/>
                    <a:ext cx="1790700" cy="5810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DA017"/>
    <w:multiLevelType w:val="singleLevel"/>
    <w:tmpl w:val="EBDDA017"/>
    <w:lvl w:ilvl="0" w:tentative="0">
      <w:start w:val="1"/>
      <w:numFmt w:val="bullet"/>
      <w:lvlText w:val=""/>
      <w:lvlJc w:val="left"/>
      <w:pPr>
        <w:ind w:left="420" w:hanging="420"/>
      </w:pPr>
      <w:rPr>
        <w:rFonts w:hint="default" w:ascii="Wingdings" w:hAnsi="Wingdings"/>
      </w:rPr>
    </w:lvl>
  </w:abstractNum>
  <w:abstractNum w:abstractNumId="1">
    <w:nsid w:val="F38424F1"/>
    <w:multiLevelType w:val="singleLevel"/>
    <w:tmpl w:val="F38424F1"/>
    <w:lvl w:ilvl="0" w:tentative="0">
      <w:start w:val="1"/>
      <w:numFmt w:val="decimal"/>
      <w:lvlText w:val="%1."/>
      <w:lvlJc w:val="left"/>
      <w:pPr>
        <w:tabs>
          <w:tab w:val="left" w:pos="420"/>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851CF"/>
    <w:rsid w:val="000045A2"/>
    <w:rsid w:val="00312C78"/>
    <w:rsid w:val="00375C46"/>
    <w:rsid w:val="003E6697"/>
    <w:rsid w:val="007E38E5"/>
    <w:rsid w:val="00884B6D"/>
    <w:rsid w:val="00CE2B0B"/>
    <w:rsid w:val="011228D5"/>
    <w:rsid w:val="01496BF8"/>
    <w:rsid w:val="017A0701"/>
    <w:rsid w:val="0187780B"/>
    <w:rsid w:val="018F20A5"/>
    <w:rsid w:val="01CE19D6"/>
    <w:rsid w:val="01DA6FA7"/>
    <w:rsid w:val="01E2608D"/>
    <w:rsid w:val="01E361D4"/>
    <w:rsid w:val="01E841D0"/>
    <w:rsid w:val="020671AC"/>
    <w:rsid w:val="022147D2"/>
    <w:rsid w:val="02866C97"/>
    <w:rsid w:val="029E6DFE"/>
    <w:rsid w:val="031A1A7F"/>
    <w:rsid w:val="033518CB"/>
    <w:rsid w:val="03762F3B"/>
    <w:rsid w:val="037E5DBE"/>
    <w:rsid w:val="039A75E7"/>
    <w:rsid w:val="039A7680"/>
    <w:rsid w:val="03B14960"/>
    <w:rsid w:val="03B76D3A"/>
    <w:rsid w:val="03EF21F1"/>
    <w:rsid w:val="042373B5"/>
    <w:rsid w:val="042F6884"/>
    <w:rsid w:val="043934A0"/>
    <w:rsid w:val="04474897"/>
    <w:rsid w:val="047C0E4D"/>
    <w:rsid w:val="048C477E"/>
    <w:rsid w:val="04CF3BFA"/>
    <w:rsid w:val="04D179E3"/>
    <w:rsid w:val="04F871F2"/>
    <w:rsid w:val="052D76A7"/>
    <w:rsid w:val="055C610B"/>
    <w:rsid w:val="059E1AE8"/>
    <w:rsid w:val="05C33496"/>
    <w:rsid w:val="05E02B4A"/>
    <w:rsid w:val="05F31909"/>
    <w:rsid w:val="05F60B90"/>
    <w:rsid w:val="060F6B89"/>
    <w:rsid w:val="062B0722"/>
    <w:rsid w:val="06341147"/>
    <w:rsid w:val="063B755C"/>
    <w:rsid w:val="06A76273"/>
    <w:rsid w:val="06A81ABA"/>
    <w:rsid w:val="06DE6342"/>
    <w:rsid w:val="07285972"/>
    <w:rsid w:val="0741275B"/>
    <w:rsid w:val="07AF348F"/>
    <w:rsid w:val="07E30413"/>
    <w:rsid w:val="081968FA"/>
    <w:rsid w:val="081D1328"/>
    <w:rsid w:val="08324D39"/>
    <w:rsid w:val="086B03EC"/>
    <w:rsid w:val="08863265"/>
    <w:rsid w:val="08B4740F"/>
    <w:rsid w:val="08DA7482"/>
    <w:rsid w:val="091A4120"/>
    <w:rsid w:val="091E09FC"/>
    <w:rsid w:val="09590236"/>
    <w:rsid w:val="0968089A"/>
    <w:rsid w:val="09691FFB"/>
    <w:rsid w:val="098845EE"/>
    <w:rsid w:val="09A07F38"/>
    <w:rsid w:val="09A22BE9"/>
    <w:rsid w:val="09E044B5"/>
    <w:rsid w:val="09ED06E2"/>
    <w:rsid w:val="09F36CBD"/>
    <w:rsid w:val="0A394077"/>
    <w:rsid w:val="0A3A3BD3"/>
    <w:rsid w:val="0A6330A3"/>
    <w:rsid w:val="0AF929EB"/>
    <w:rsid w:val="0B033C1F"/>
    <w:rsid w:val="0B2642AD"/>
    <w:rsid w:val="0B584055"/>
    <w:rsid w:val="0B9423D5"/>
    <w:rsid w:val="0BD17F2B"/>
    <w:rsid w:val="0BDC2B52"/>
    <w:rsid w:val="0C1211E4"/>
    <w:rsid w:val="0C506267"/>
    <w:rsid w:val="0C7E58B8"/>
    <w:rsid w:val="0C8D3AFF"/>
    <w:rsid w:val="0CA13D6F"/>
    <w:rsid w:val="0CB02F0A"/>
    <w:rsid w:val="0CF05EE3"/>
    <w:rsid w:val="0D031984"/>
    <w:rsid w:val="0D175145"/>
    <w:rsid w:val="0D1F5D80"/>
    <w:rsid w:val="0D3B7704"/>
    <w:rsid w:val="0D4B12A0"/>
    <w:rsid w:val="0DA5044E"/>
    <w:rsid w:val="0DE72F1F"/>
    <w:rsid w:val="0DE92387"/>
    <w:rsid w:val="0DFA4BC2"/>
    <w:rsid w:val="0DFB4807"/>
    <w:rsid w:val="0E23352D"/>
    <w:rsid w:val="0E3E3F1E"/>
    <w:rsid w:val="0E4E4177"/>
    <w:rsid w:val="0E83403E"/>
    <w:rsid w:val="0E976B71"/>
    <w:rsid w:val="0EA67BA7"/>
    <w:rsid w:val="0EB232C3"/>
    <w:rsid w:val="0EB8552C"/>
    <w:rsid w:val="0EB935BB"/>
    <w:rsid w:val="0ECF3A18"/>
    <w:rsid w:val="0F074335"/>
    <w:rsid w:val="0F182CE5"/>
    <w:rsid w:val="0F4141C4"/>
    <w:rsid w:val="0FA549AC"/>
    <w:rsid w:val="0FEB4731"/>
    <w:rsid w:val="0FF76F51"/>
    <w:rsid w:val="1001315D"/>
    <w:rsid w:val="100F5DD7"/>
    <w:rsid w:val="1015044D"/>
    <w:rsid w:val="10200C72"/>
    <w:rsid w:val="104E2FCC"/>
    <w:rsid w:val="106F179A"/>
    <w:rsid w:val="10B539BF"/>
    <w:rsid w:val="10CC0892"/>
    <w:rsid w:val="1101615A"/>
    <w:rsid w:val="11245E1B"/>
    <w:rsid w:val="113B2C3B"/>
    <w:rsid w:val="113D26CB"/>
    <w:rsid w:val="11AE21B3"/>
    <w:rsid w:val="11DF51E9"/>
    <w:rsid w:val="12047272"/>
    <w:rsid w:val="120F446B"/>
    <w:rsid w:val="12135E39"/>
    <w:rsid w:val="12235801"/>
    <w:rsid w:val="12415A76"/>
    <w:rsid w:val="1255337B"/>
    <w:rsid w:val="12C8134E"/>
    <w:rsid w:val="12D643BC"/>
    <w:rsid w:val="1311158D"/>
    <w:rsid w:val="132C0917"/>
    <w:rsid w:val="132E0E61"/>
    <w:rsid w:val="13377EC4"/>
    <w:rsid w:val="13427E85"/>
    <w:rsid w:val="13703B0C"/>
    <w:rsid w:val="13C11234"/>
    <w:rsid w:val="13D43AB0"/>
    <w:rsid w:val="13E142C6"/>
    <w:rsid w:val="13E42FF9"/>
    <w:rsid w:val="13EC7438"/>
    <w:rsid w:val="14174185"/>
    <w:rsid w:val="14196D03"/>
    <w:rsid w:val="14344183"/>
    <w:rsid w:val="146E3243"/>
    <w:rsid w:val="147B156F"/>
    <w:rsid w:val="147C4164"/>
    <w:rsid w:val="14A60158"/>
    <w:rsid w:val="14B80FC3"/>
    <w:rsid w:val="14C20300"/>
    <w:rsid w:val="14F60FA8"/>
    <w:rsid w:val="15121250"/>
    <w:rsid w:val="153B40AA"/>
    <w:rsid w:val="153E51C2"/>
    <w:rsid w:val="15A458BA"/>
    <w:rsid w:val="161A160C"/>
    <w:rsid w:val="163F4932"/>
    <w:rsid w:val="16921511"/>
    <w:rsid w:val="16993587"/>
    <w:rsid w:val="16C710D1"/>
    <w:rsid w:val="16CF5658"/>
    <w:rsid w:val="16F87E65"/>
    <w:rsid w:val="17114157"/>
    <w:rsid w:val="175A3782"/>
    <w:rsid w:val="17866B36"/>
    <w:rsid w:val="179B1C92"/>
    <w:rsid w:val="1817720A"/>
    <w:rsid w:val="186860E0"/>
    <w:rsid w:val="18715C99"/>
    <w:rsid w:val="1902405C"/>
    <w:rsid w:val="19542EF1"/>
    <w:rsid w:val="19545A4C"/>
    <w:rsid w:val="19597F53"/>
    <w:rsid w:val="196D22BF"/>
    <w:rsid w:val="19A950F3"/>
    <w:rsid w:val="19C36DE0"/>
    <w:rsid w:val="19E31534"/>
    <w:rsid w:val="19EA6798"/>
    <w:rsid w:val="1A497C33"/>
    <w:rsid w:val="1A5D31D1"/>
    <w:rsid w:val="1A745E68"/>
    <w:rsid w:val="1A942B1E"/>
    <w:rsid w:val="1AB476ED"/>
    <w:rsid w:val="1ADE20D2"/>
    <w:rsid w:val="1B185C2A"/>
    <w:rsid w:val="1B1B19D9"/>
    <w:rsid w:val="1B211637"/>
    <w:rsid w:val="1B2B6B82"/>
    <w:rsid w:val="1B902B37"/>
    <w:rsid w:val="1B943630"/>
    <w:rsid w:val="1BAD6F70"/>
    <w:rsid w:val="1BC55186"/>
    <w:rsid w:val="1C3E1947"/>
    <w:rsid w:val="1C6909FE"/>
    <w:rsid w:val="1C7B5119"/>
    <w:rsid w:val="1C8229B3"/>
    <w:rsid w:val="1CED2069"/>
    <w:rsid w:val="1CFE4979"/>
    <w:rsid w:val="1D1407FF"/>
    <w:rsid w:val="1D617058"/>
    <w:rsid w:val="1D6C1CE0"/>
    <w:rsid w:val="1D8B262A"/>
    <w:rsid w:val="1D9D309C"/>
    <w:rsid w:val="1DA13012"/>
    <w:rsid w:val="1DB16F11"/>
    <w:rsid w:val="1DB7090D"/>
    <w:rsid w:val="1DE23AB6"/>
    <w:rsid w:val="1DF14453"/>
    <w:rsid w:val="1E160929"/>
    <w:rsid w:val="1E28024D"/>
    <w:rsid w:val="1E3F3734"/>
    <w:rsid w:val="1E414D96"/>
    <w:rsid w:val="1E5747D1"/>
    <w:rsid w:val="1E5A5299"/>
    <w:rsid w:val="1E5E1524"/>
    <w:rsid w:val="1E7E3CAF"/>
    <w:rsid w:val="1E9B3805"/>
    <w:rsid w:val="1EB65BA4"/>
    <w:rsid w:val="1F005AB7"/>
    <w:rsid w:val="1F0F53C6"/>
    <w:rsid w:val="1F21334D"/>
    <w:rsid w:val="1F551019"/>
    <w:rsid w:val="1F5A190D"/>
    <w:rsid w:val="1F8D4076"/>
    <w:rsid w:val="1F9635DC"/>
    <w:rsid w:val="1FC90A71"/>
    <w:rsid w:val="1FE82692"/>
    <w:rsid w:val="204A7F1B"/>
    <w:rsid w:val="20567F49"/>
    <w:rsid w:val="2073673D"/>
    <w:rsid w:val="209D4F7E"/>
    <w:rsid w:val="20B03846"/>
    <w:rsid w:val="20BB6CF9"/>
    <w:rsid w:val="21250A23"/>
    <w:rsid w:val="212E4E71"/>
    <w:rsid w:val="215346B7"/>
    <w:rsid w:val="21906B21"/>
    <w:rsid w:val="21A25E5D"/>
    <w:rsid w:val="21B43861"/>
    <w:rsid w:val="21BD70C5"/>
    <w:rsid w:val="21DC5617"/>
    <w:rsid w:val="21E47CD0"/>
    <w:rsid w:val="2207442C"/>
    <w:rsid w:val="221727A4"/>
    <w:rsid w:val="22291946"/>
    <w:rsid w:val="224F1418"/>
    <w:rsid w:val="227E3AA2"/>
    <w:rsid w:val="22896464"/>
    <w:rsid w:val="228A6057"/>
    <w:rsid w:val="22D54EDF"/>
    <w:rsid w:val="23295B0B"/>
    <w:rsid w:val="23586391"/>
    <w:rsid w:val="237A5998"/>
    <w:rsid w:val="23971AC2"/>
    <w:rsid w:val="23AE0C43"/>
    <w:rsid w:val="240A1B08"/>
    <w:rsid w:val="240B3578"/>
    <w:rsid w:val="240C1CAA"/>
    <w:rsid w:val="24211C10"/>
    <w:rsid w:val="24253520"/>
    <w:rsid w:val="24306E62"/>
    <w:rsid w:val="244A113B"/>
    <w:rsid w:val="24640E3E"/>
    <w:rsid w:val="247B41CF"/>
    <w:rsid w:val="247D5933"/>
    <w:rsid w:val="24CA3F21"/>
    <w:rsid w:val="24D34D05"/>
    <w:rsid w:val="25251735"/>
    <w:rsid w:val="25621806"/>
    <w:rsid w:val="25804D32"/>
    <w:rsid w:val="25814FDE"/>
    <w:rsid w:val="25BE3E1D"/>
    <w:rsid w:val="25E00412"/>
    <w:rsid w:val="25E00712"/>
    <w:rsid w:val="25F94AFA"/>
    <w:rsid w:val="25FD0B4E"/>
    <w:rsid w:val="2632235A"/>
    <w:rsid w:val="26695705"/>
    <w:rsid w:val="2677102C"/>
    <w:rsid w:val="267D57B3"/>
    <w:rsid w:val="26952143"/>
    <w:rsid w:val="26A716D7"/>
    <w:rsid w:val="27213DEA"/>
    <w:rsid w:val="27230E29"/>
    <w:rsid w:val="27381DF5"/>
    <w:rsid w:val="27936296"/>
    <w:rsid w:val="279D615A"/>
    <w:rsid w:val="27BC253A"/>
    <w:rsid w:val="28321AF1"/>
    <w:rsid w:val="2842102F"/>
    <w:rsid w:val="28740D52"/>
    <w:rsid w:val="287F402F"/>
    <w:rsid w:val="28964CF0"/>
    <w:rsid w:val="28BE33F3"/>
    <w:rsid w:val="28F6589E"/>
    <w:rsid w:val="29381317"/>
    <w:rsid w:val="2956303E"/>
    <w:rsid w:val="29742704"/>
    <w:rsid w:val="29945B71"/>
    <w:rsid w:val="29986057"/>
    <w:rsid w:val="29A942A7"/>
    <w:rsid w:val="29B409CB"/>
    <w:rsid w:val="29EA2E70"/>
    <w:rsid w:val="2A3A46B8"/>
    <w:rsid w:val="2A4D106F"/>
    <w:rsid w:val="2A52487B"/>
    <w:rsid w:val="2A8B7DB5"/>
    <w:rsid w:val="2AC2776D"/>
    <w:rsid w:val="2AE34584"/>
    <w:rsid w:val="2B016A31"/>
    <w:rsid w:val="2B06619A"/>
    <w:rsid w:val="2B2C383E"/>
    <w:rsid w:val="2B43176A"/>
    <w:rsid w:val="2B593A41"/>
    <w:rsid w:val="2B7D75FD"/>
    <w:rsid w:val="2BC6599E"/>
    <w:rsid w:val="2BCE3595"/>
    <w:rsid w:val="2C30187F"/>
    <w:rsid w:val="2C33287B"/>
    <w:rsid w:val="2C646754"/>
    <w:rsid w:val="2C836A26"/>
    <w:rsid w:val="2CBC7561"/>
    <w:rsid w:val="2CEB2018"/>
    <w:rsid w:val="2D050A62"/>
    <w:rsid w:val="2D1A5CC0"/>
    <w:rsid w:val="2D1A7A76"/>
    <w:rsid w:val="2D225617"/>
    <w:rsid w:val="2DA60265"/>
    <w:rsid w:val="2DAA76EB"/>
    <w:rsid w:val="2E07722A"/>
    <w:rsid w:val="2E2907F9"/>
    <w:rsid w:val="2E3F72DB"/>
    <w:rsid w:val="2E411DFE"/>
    <w:rsid w:val="2E42561C"/>
    <w:rsid w:val="2E676D9B"/>
    <w:rsid w:val="2EAC166C"/>
    <w:rsid w:val="2EDB03F7"/>
    <w:rsid w:val="2F1D691C"/>
    <w:rsid w:val="2F6A390C"/>
    <w:rsid w:val="2FB00EA3"/>
    <w:rsid w:val="2FC57136"/>
    <w:rsid w:val="2FE557ED"/>
    <w:rsid w:val="30047824"/>
    <w:rsid w:val="301814EB"/>
    <w:rsid w:val="302B1B37"/>
    <w:rsid w:val="3039640A"/>
    <w:rsid w:val="303B523C"/>
    <w:rsid w:val="305811B4"/>
    <w:rsid w:val="3087403A"/>
    <w:rsid w:val="30A93AD7"/>
    <w:rsid w:val="30F92587"/>
    <w:rsid w:val="310741F8"/>
    <w:rsid w:val="310759CF"/>
    <w:rsid w:val="3125716F"/>
    <w:rsid w:val="313A4621"/>
    <w:rsid w:val="313C2DDA"/>
    <w:rsid w:val="31435C8B"/>
    <w:rsid w:val="31576781"/>
    <w:rsid w:val="3165732A"/>
    <w:rsid w:val="322367E0"/>
    <w:rsid w:val="324C2259"/>
    <w:rsid w:val="327052A1"/>
    <w:rsid w:val="3285417B"/>
    <w:rsid w:val="328E2398"/>
    <w:rsid w:val="32EF27BA"/>
    <w:rsid w:val="334128CD"/>
    <w:rsid w:val="334851CF"/>
    <w:rsid w:val="33487391"/>
    <w:rsid w:val="33635399"/>
    <w:rsid w:val="336B1C02"/>
    <w:rsid w:val="337C6A9A"/>
    <w:rsid w:val="33961BB1"/>
    <w:rsid w:val="339B5A12"/>
    <w:rsid w:val="33E214E9"/>
    <w:rsid w:val="340C289C"/>
    <w:rsid w:val="34474B65"/>
    <w:rsid w:val="34637139"/>
    <w:rsid w:val="347F61D7"/>
    <w:rsid w:val="352B7E41"/>
    <w:rsid w:val="353C1FA5"/>
    <w:rsid w:val="35544F19"/>
    <w:rsid w:val="35843CD0"/>
    <w:rsid w:val="35CB6E5A"/>
    <w:rsid w:val="35F301A8"/>
    <w:rsid w:val="36086C6E"/>
    <w:rsid w:val="361C01B4"/>
    <w:rsid w:val="361C52CE"/>
    <w:rsid w:val="365D0D83"/>
    <w:rsid w:val="36B21C3F"/>
    <w:rsid w:val="36BD44A5"/>
    <w:rsid w:val="370C4929"/>
    <w:rsid w:val="373C35AA"/>
    <w:rsid w:val="374A2D3A"/>
    <w:rsid w:val="374F7876"/>
    <w:rsid w:val="376B5351"/>
    <w:rsid w:val="377E21EE"/>
    <w:rsid w:val="37880D11"/>
    <w:rsid w:val="37931910"/>
    <w:rsid w:val="37BC3E08"/>
    <w:rsid w:val="37C4275D"/>
    <w:rsid w:val="37E75DBB"/>
    <w:rsid w:val="37F24283"/>
    <w:rsid w:val="37F81F9A"/>
    <w:rsid w:val="380A46D8"/>
    <w:rsid w:val="38140FD6"/>
    <w:rsid w:val="38194A0E"/>
    <w:rsid w:val="38762EB5"/>
    <w:rsid w:val="3879414B"/>
    <w:rsid w:val="388B61AC"/>
    <w:rsid w:val="38BE554D"/>
    <w:rsid w:val="38C55E70"/>
    <w:rsid w:val="38D32CB7"/>
    <w:rsid w:val="38E71529"/>
    <w:rsid w:val="3926467F"/>
    <w:rsid w:val="393E3E34"/>
    <w:rsid w:val="39483323"/>
    <w:rsid w:val="39E62A7F"/>
    <w:rsid w:val="3A586182"/>
    <w:rsid w:val="3A67754E"/>
    <w:rsid w:val="3A795F66"/>
    <w:rsid w:val="3A7E547B"/>
    <w:rsid w:val="3AA24711"/>
    <w:rsid w:val="3AB3373C"/>
    <w:rsid w:val="3AB66C6A"/>
    <w:rsid w:val="3AE91869"/>
    <w:rsid w:val="3AF522DF"/>
    <w:rsid w:val="3B2E7847"/>
    <w:rsid w:val="3B2E7BD1"/>
    <w:rsid w:val="3B463B2E"/>
    <w:rsid w:val="3B5013C1"/>
    <w:rsid w:val="3B963258"/>
    <w:rsid w:val="3B9C5EFB"/>
    <w:rsid w:val="3BC174D4"/>
    <w:rsid w:val="3BC37A47"/>
    <w:rsid w:val="3C336692"/>
    <w:rsid w:val="3C3E140A"/>
    <w:rsid w:val="3C410AC1"/>
    <w:rsid w:val="3C9D35AA"/>
    <w:rsid w:val="3CF47859"/>
    <w:rsid w:val="3D2824AA"/>
    <w:rsid w:val="3D3F5A86"/>
    <w:rsid w:val="3D6D7AE4"/>
    <w:rsid w:val="3D8B552F"/>
    <w:rsid w:val="3DA123C9"/>
    <w:rsid w:val="3DB30FBC"/>
    <w:rsid w:val="3DED2963"/>
    <w:rsid w:val="3DF041A2"/>
    <w:rsid w:val="3DF46645"/>
    <w:rsid w:val="3DF767A2"/>
    <w:rsid w:val="3E086C46"/>
    <w:rsid w:val="3E424CD0"/>
    <w:rsid w:val="3E45605F"/>
    <w:rsid w:val="3EA058FC"/>
    <w:rsid w:val="3EA807FE"/>
    <w:rsid w:val="3EB96C85"/>
    <w:rsid w:val="3EC013DC"/>
    <w:rsid w:val="3EF91B50"/>
    <w:rsid w:val="3F0C66F1"/>
    <w:rsid w:val="3F2638CD"/>
    <w:rsid w:val="3F404066"/>
    <w:rsid w:val="3F7C2FFF"/>
    <w:rsid w:val="3FA45F3D"/>
    <w:rsid w:val="3FB07CBC"/>
    <w:rsid w:val="3FD1737A"/>
    <w:rsid w:val="3FE179BC"/>
    <w:rsid w:val="403C5A65"/>
    <w:rsid w:val="40651A89"/>
    <w:rsid w:val="40815ABC"/>
    <w:rsid w:val="40A02FE1"/>
    <w:rsid w:val="40B862DD"/>
    <w:rsid w:val="40C835EF"/>
    <w:rsid w:val="40DB5705"/>
    <w:rsid w:val="40EA2899"/>
    <w:rsid w:val="4107105A"/>
    <w:rsid w:val="4115025B"/>
    <w:rsid w:val="414941C2"/>
    <w:rsid w:val="41682EB1"/>
    <w:rsid w:val="418342D2"/>
    <w:rsid w:val="41C10068"/>
    <w:rsid w:val="41DB7B42"/>
    <w:rsid w:val="41E20F9D"/>
    <w:rsid w:val="42203333"/>
    <w:rsid w:val="422747A3"/>
    <w:rsid w:val="423B0065"/>
    <w:rsid w:val="425D6DA5"/>
    <w:rsid w:val="425E2444"/>
    <w:rsid w:val="42687FBB"/>
    <w:rsid w:val="42E840D7"/>
    <w:rsid w:val="432E60AF"/>
    <w:rsid w:val="436117C1"/>
    <w:rsid w:val="436D58ED"/>
    <w:rsid w:val="43751771"/>
    <w:rsid w:val="43A41265"/>
    <w:rsid w:val="43AD5DA3"/>
    <w:rsid w:val="44035102"/>
    <w:rsid w:val="442D5055"/>
    <w:rsid w:val="44536591"/>
    <w:rsid w:val="446C6127"/>
    <w:rsid w:val="44AD16C5"/>
    <w:rsid w:val="44B1212B"/>
    <w:rsid w:val="44F55CA9"/>
    <w:rsid w:val="44F72665"/>
    <w:rsid w:val="452F5AFD"/>
    <w:rsid w:val="45900C3D"/>
    <w:rsid w:val="45B2657B"/>
    <w:rsid w:val="45CA6703"/>
    <w:rsid w:val="45D43507"/>
    <w:rsid w:val="45E2657D"/>
    <w:rsid w:val="45ED0BAD"/>
    <w:rsid w:val="45F71271"/>
    <w:rsid w:val="46314BA7"/>
    <w:rsid w:val="46321EE6"/>
    <w:rsid w:val="46A57CE7"/>
    <w:rsid w:val="46D879C2"/>
    <w:rsid w:val="46FE0401"/>
    <w:rsid w:val="47046A6A"/>
    <w:rsid w:val="4768661D"/>
    <w:rsid w:val="479E4EA6"/>
    <w:rsid w:val="47AB462F"/>
    <w:rsid w:val="47B35DDE"/>
    <w:rsid w:val="47BF3095"/>
    <w:rsid w:val="47F00FD9"/>
    <w:rsid w:val="48096613"/>
    <w:rsid w:val="48123C9D"/>
    <w:rsid w:val="4878174B"/>
    <w:rsid w:val="48891417"/>
    <w:rsid w:val="48937E91"/>
    <w:rsid w:val="489B0493"/>
    <w:rsid w:val="48A405BC"/>
    <w:rsid w:val="48E0494E"/>
    <w:rsid w:val="48E23029"/>
    <w:rsid w:val="48E813A7"/>
    <w:rsid w:val="49005875"/>
    <w:rsid w:val="493128E0"/>
    <w:rsid w:val="4954568E"/>
    <w:rsid w:val="49564C2E"/>
    <w:rsid w:val="4965234C"/>
    <w:rsid w:val="49772EA8"/>
    <w:rsid w:val="49BB58DB"/>
    <w:rsid w:val="49C61882"/>
    <w:rsid w:val="49C66559"/>
    <w:rsid w:val="49C77B8D"/>
    <w:rsid w:val="49C82F8B"/>
    <w:rsid w:val="49CA483C"/>
    <w:rsid w:val="49F420FC"/>
    <w:rsid w:val="4A1711E5"/>
    <w:rsid w:val="4AF107B3"/>
    <w:rsid w:val="4B1E6062"/>
    <w:rsid w:val="4B3E38DD"/>
    <w:rsid w:val="4B4901FE"/>
    <w:rsid w:val="4B52659A"/>
    <w:rsid w:val="4BA74618"/>
    <w:rsid w:val="4C2A0369"/>
    <w:rsid w:val="4C4E37F8"/>
    <w:rsid w:val="4C7C3625"/>
    <w:rsid w:val="4C893527"/>
    <w:rsid w:val="4C984694"/>
    <w:rsid w:val="4CE04FD1"/>
    <w:rsid w:val="4CE74F6A"/>
    <w:rsid w:val="4CED5821"/>
    <w:rsid w:val="4D194A4E"/>
    <w:rsid w:val="4D19599B"/>
    <w:rsid w:val="4D204FF4"/>
    <w:rsid w:val="4D297970"/>
    <w:rsid w:val="4D881E87"/>
    <w:rsid w:val="4D8A71B8"/>
    <w:rsid w:val="4D9006D0"/>
    <w:rsid w:val="4DBC2E3B"/>
    <w:rsid w:val="4E6A39D3"/>
    <w:rsid w:val="4E846FE2"/>
    <w:rsid w:val="4EB97997"/>
    <w:rsid w:val="4EC3093E"/>
    <w:rsid w:val="4EC64FEF"/>
    <w:rsid w:val="4ED50845"/>
    <w:rsid w:val="4EF67C43"/>
    <w:rsid w:val="4F033765"/>
    <w:rsid w:val="4F3002E3"/>
    <w:rsid w:val="4F33679A"/>
    <w:rsid w:val="4F415B9D"/>
    <w:rsid w:val="4F591C8B"/>
    <w:rsid w:val="4F7462D3"/>
    <w:rsid w:val="4F7C51DC"/>
    <w:rsid w:val="4FA252CA"/>
    <w:rsid w:val="4FA76A89"/>
    <w:rsid w:val="50567492"/>
    <w:rsid w:val="509A6D55"/>
    <w:rsid w:val="50D863AA"/>
    <w:rsid w:val="50E447AC"/>
    <w:rsid w:val="51950DC0"/>
    <w:rsid w:val="51B86B8A"/>
    <w:rsid w:val="51C74E2F"/>
    <w:rsid w:val="52002F05"/>
    <w:rsid w:val="524F6E4A"/>
    <w:rsid w:val="52543669"/>
    <w:rsid w:val="526040EF"/>
    <w:rsid w:val="526250AA"/>
    <w:rsid w:val="52813053"/>
    <w:rsid w:val="52AD0EF5"/>
    <w:rsid w:val="52BF3359"/>
    <w:rsid w:val="52DE52A0"/>
    <w:rsid w:val="531B2B69"/>
    <w:rsid w:val="5325142E"/>
    <w:rsid w:val="533A7322"/>
    <w:rsid w:val="5347067F"/>
    <w:rsid w:val="53504122"/>
    <w:rsid w:val="53516CAD"/>
    <w:rsid w:val="53617EFD"/>
    <w:rsid w:val="53705CDA"/>
    <w:rsid w:val="53764CE9"/>
    <w:rsid w:val="537E6D24"/>
    <w:rsid w:val="537E73F5"/>
    <w:rsid w:val="53990CDE"/>
    <w:rsid w:val="53B37EBD"/>
    <w:rsid w:val="53C140F7"/>
    <w:rsid w:val="53C449CA"/>
    <w:rsid w:val="53E205FD"/>
    <w:rsid w:val="543B27FA"/>
    <w:rsid w:val="547F42BC"/>
    <w:rsid w:val="549A1D51"/>
    <w:rsid w:val="54E51E49"/>
    <w:rsid w:val="5508301C"/>
    <w:rsid w:val="55086312"/>
    <w:rsid w:val="554053F4"/>
    <w:rsid w:val="5548028F"/>
    <w:rsid w:val="55FC5ECD"/>
    <w:rsid w:val="56186A50"/>
    <w:rsid w:val="564A376C"/>
    <w:rsid w:val="567A25C2"/>
    <w:rsid w:val="56900089"/>
    <w:rsid w:val="569170EF"/>
    <w:rsid w:val="56A10682"/>
    <w:rsid w:val="56A67AF3"/>
    <w:rsid w:val="56BB66EF"/>
    <w:rsid w:val="56F57B65"/>
    <w:rsid w:val="570A1D81"/>
    <w:rsid w:val="573C2E01"/>
    <w:rsid w:val="57871035"/>
    <w:rsid w:val="57A06C17"/>
    <w:rsid w:val="57C710BE"/>
    <w:rsid w:val="58334531"/>
    <w:rsid w:val="586B0373"/>
    <w:rsid w:val="58A4561D"/>
    <w:rsid w:val="58B453EB"/>
    <w:rsid w:val="58EB7DDD"/>
    <w:rsid w:val="58F361FB"/>
    <w:rsid w:val="58F508DA"/>
    <w:rsid w:val="58F63229"/>
    <w:rsid w:val="59187ADB"/>
    <w:rsid w:val="594314C4"/>
    <w:rsid w:val="595F44F9"/>
    <w:rsid w:val="59661F89"/>
    <w:rsid w:val="597F70C8"/>
    <w:rsid w:val="599A2E54"/>
    <w:rsid w:val="59AA2B0B"/>
    <w:rsid w:val="59BC5AF4"/>
    <w:rsid w:val="59D11ACC"/>
    <w:rsid w:val="5A132727"/>
    <w:rsid w:val="5A415104"/>
    <w:rsid w:val="5A5C40CA"/>
    <w:rsid w:val="5A70052D"/>
    <w:rsid w:val="5A883488"/>
    <w:rsid w:val="5A8D2581"/>
    <w:rsid w:val="5AB624FE"/>
    <w:rsid w:val="5ACB4D90"/>
    <w:rsid w:val="5ACC5E51"/>
    <w:rsid w:val="5ADD2577"/>
    <w:rsid w:val="5AEA252D"/>
    <w:rsid w:val="5B1C6BE3"/>
    <w:rsid w:val="5B2C54AC"/>
    <w:rsid w:val="5B2F4B1B"/>
    <w:rsid w:val="5B342D6F"/>
    <w:rsid w:val="5B366E00"/>
    <w:rsid w:val="5B44583D"/>
    <w:rsid w:val="5B530A9B"/>
    <w:rsid w:val="5B710E43"/>
    <w:rsid w:val="5B8E1C89"/>
    <w:rsid w:val="5B991214"/>
    <w:rsid w:val="5BA43139"/>
    <w:rsid w:val="5BFB3624"/>
    <w:rsid w:val="5C0E53BA"/>
    <w:rsid w:val="5C542624"/>
    <w:rsid w:val="5C75586D"/>
    <w:rsid w:val="5C9B063B"/>
    <w:rsid w:val="5CA81FF9"/>
    <w:rsid w:val="5CB56018"/>
    <w:rsid w:val="5D020468"/>
    <w:rsid w:val="5D2D0D91"/>
    <w:rsid w:val="5D6742CF"/>
    <w:rsid w:val="5E151711"/>
    <w:rsid w:val="5E5A3F59"/>
    <w:rsid w:val="5E73055C"/>
    <w:rsid w:val="5E731A92"/>
    <w:rsid w:val="5E794AC2"/>
    <w:rsid w:val="5E847DFD"/>
    <w:rsid w:val="5EAC2DB9"/>
    <w:rsid w:val="5ED03967"/>
    <w:rsid w:val="5F0A0DB4"/>
    <w:rsid w:val="5F365C38"/>
    <w:rsid w:val="5F3F293E"/>
    <w:rsid w:val="5F435F78"/>
    <w:rsid w:val="5F6A0D91"/>
    <w:rsid w:val="5F94438A"/>
    <w:rsid w:val="5FBC7013"/>
    <w:rsid w:val="5FDE3E3E"/>
    <w:rsid w:val="5FF5314D"/>
    <w:rsid w:val="60277B8E"/>
    <w:rsid w:val="605F43EE"/>
    <w:rsid w:val="606972D0"/>
    <w:rsid w:val="608E1129"/>
    <w:rsid w:val="60A22541"/>
    <w:rsid w:val="60BB0E53"/>
    <w:rsid w:val="60DD0DC6"/>
    <w:rsid w:val="610005DC"/>
    <w:rsid w:val="61023BD9"/>
    <w:rsid w:val="612B0F14"/>
    <w:rsid w:val="61340AD0"/>
    <w:rsid w:val="61500950"/>
    <w:rsid w:val="618F0A9E"/>
    <w:rsid w:val="61B77862"/>
    <w:rsid w:val="61BA6B31"/>
    <w:rsid w:val="61D84F84"/>
    <w:rsid w:val="62003F5F"/>
    <w:rsid w:val="62090D27"/>
    <w:rsid w:val="623D2DF0"/>
    <w:rsid w:val="626D2328"/>
    <w:rsid w:val="62A66F3C"/>
    <w:rsid w:val="62B252C8"/>
    <w:rsid w:val="62C137A7"/>
    <w:rsid w:val="62DF7269"/>
    <w:rsid w:val="62E54A8C"/>
    <w:rsid w:val="62FD23CC"/>
    <w:rsid w:val="63196C22"/>
    <w:rsid w:val="634D512A"/>
    <w:rsid w:val="63527779"/>
    <w:rsid w:val="638466CF"/>
    <w:rsid w:val="638C4B54"/>
    <w:rsid w:val="638E12F5"/>
    <w:rsid w:val="63926C0D"/>
    <w:rsid w:val="639758C6"/>
    <w:rsid w:val="63A04C3F"/>
    <w:rsid w:val="63DE7556"/>
    <w:rsid w:val="63EB0F8F"/>
    <w:rsid w:val="63F228A0"/>
    <w:rsid w:val="647A6A9F"/>
    <w:rsid w:val="64803B36"/>
    <w:rsid w:val="64994B35"/>
    <w:rsid w:val="64D92434"/>
    <w:rsid w:val="65A45044"/>
    <w:rsid w:val="65EB6805"/>
    <w:rsid w:val="663F2ACC"/>
    <w:rsid w:val="664B11B5"/>
    <w:rsid w:val="66603188"/>
    <w:rsid w:val="66754F8B"/>
    <w:rsid w:val="66BF1688"/>
    <w:rsid w:val="66CE7CC4"/>
    <w:rsid w:val="67206748"/>
    <w:rsid w:val="67274CDA"/>
    <w:rsid w:val="674146AD"/>
    <w:rsid w:val="67463CAE"/>
    <w:rsid w:val="675A6748"/>
    <w:rsid w:val="677621FE"/>
    <w:rsid w:val="677E7611"/>
    <w:rsid w:val="67856244"/>
    <w:rsid w:val="6786219E"/>
    <w:rsid w:val="679E372F"/>
    <w:rsid w:val="67A658C0"/>
    <w:rsid w:val="67A665E0"/>
    <w:rsid w:val="67C77FF0"/>
    <w:rsid w:val="681F3F20"/>
    <w:rsid w:val="685F05B8"/>
    <w:rsid w:val="688714C9"/>
    <w:rsid w:val="68ED4E38"/>
    <w:rsid w:val="690C4ACD"/>
    <w:rsid w:val="69725156"/>
    <w:rsid w:val="69755527"/>
    <w:rsid w:val="6A640BA0"/>
    <w:rsid w:val="6A984E1C"/>
    <w:rsid w:val="6AA51B38"/>
    <w:rsid w:val="6AEE0513"/>
    <w:rsid w:val="6B030475"/>
    <w:rsid w:val="6B092A1B"/>
    <w:rsid w:val="6B581CB3"/>
    <w:rsid w:val="6B715FFB"/>
    <w:rsid w:val="6B8D0974"/>
    <w:rsid w:val="6B991F57"/>
    <w:rsid w:val="6BC32FF2"/>
    <w:rsid w:val="6BE3488F"/>
    <w:rsid w:val="6BE8522C"/>
    <w:rsid w:val="6C046DED"/>
    <w:rsid w:val="6C276853"/>
    <w:rsid w:val="6C33604D"/>
    <w:rsid w:val="6C567AFE"/>
    <w:rsid w:val="6C6861C4"/>
    <w:rsid w:val="6C7955F9"/>
    <w:rsid w:val="6C965637"/>
    <w:rsid w:val="6C99271A"/>
    <w:rsid w:val="6CCB2B2A"/>
    <w:rsid w:val="6CDD24F0"/>
    <w:rsid w:val="6D0361BB"/>
    <w:rsid w:val="6D0501F5"/>
    <w:rsid w:val="6D1220F3"/>
    <w:rsid w:val="6D186076"/>
    <w:rsid w:val="6D1C7112"/>
    <w:rsid w:val="6D7B58CE"/>
    <w:rsid w:val="6D9E7DD8"/>
    <w:rsid w:val="6DD319A4"/>
    <w:rsid w:val="6DDE3CF6"/>
    <w:rsid w:val="6E126AC2"/>
    <w:rsid w:val="6E3207A3"/>
    <w:rsid w:val="6E3A5E05"/>
    <w:rsid w:val="6E4843BD"/>
    <w:rsid w:val="6E720CEB"/>
    <w:rsid w:val="6E855A13"/>
    <w:rsid w:val="6EAD3A79"/>
    <w:rsid w:val="6EB43ECC"/>
    <w:rsid w:val="6EE36862"/>
    <w:rsid w:val="6EF14650"/>
    <w:rsid w:val="6EF825FA"/>
    <w:rsid w:val="6F006F55"/>
    <w:rsid w:val="6F841136"/>
    <w:rsid w:val="6FEF7A9F"/>
    <w:rsid w:val="6FFD2F67"/>
    <w:rsid w:val="70136188"/>
    <w:rsid w:val="70156D24"/>
    <w:rsid w:val="70265523"/>
    <w:rsid w:val="704859B6"/>
    <w:rsid w:val="705F352D"/>
    <w:rsid w:val="709501CA"/>
    <w:rsid w:val="70BF7DE3"/>
    <w:rsid w:val="70CE4FE9"/>
    <w:rsid w:val="71102A4F"/>
    <w:rsid w:val="71317698"/>
    <w:rsid w:val="71317C22"/>
    <w:rsid w:val="7147560B"/>
    <w:rsid w:val="7168180A"/>
    <w:rsid w:val="71682F24"/>
    <w:rsid w:val="71AA0D09"/>
    <w:rsid w:val="71D70F10"/>
    <w:rsid w:val="72072F24"/>
    <w:rsid w:val="72251942"/>
    <w:rsid w:val="7229780E"/>
    <w:rsid w:val="724B5641"/>
    <w:rsid w:val="725059DB"/>
    <w:rsid w:val="725C4FC8"/>
    <w:rsid w:val="729E06BD"/>
    <w:rsid w:val="72A12943"/>
    <w:rsid w:val="72A4273B"/>
    <w:rsid w:val="72E968DA"/>
    <w:rsid w:val="731D744B"/>
    <w:rsid w:val="733600E7"/>
    <w:rsid w:val="73613C14"/>
    <w:rsid w:val="737A4961"/>
    <w:rsid w:val="737F4874"/>
    <w:rsid w:val="739A731E"/>
    <w:rsid w:val="73C733F9"/>
    <w:rsid w:val="73EB2923"/>
    <w:rsid w:val="73F13838"/>
    <w:rsid w:val="73F1716B"/>
    <w:rsid w:val="740C4C71"/>
    <w:rsid w:val="74105EA1"/>
    <w:rsid w:val="74210F78"/>
    <w:rsid w:val="742675DF"/>
    <w:rsid w:val="74893CBD"/>
    <w:rsid w:val="748C201D"/>
    <w:rsid w:val="748C6040"/>
    <w:rsid w:val="74A67149"/>
    <w:rsid w:val="74A90685"/>
    <w:rsid w:val="74BF706A"/>
    <w:rsid w:val="74FF2C67"/>
    <w:rsid w:val="751E2C5A"/>
    <w:rsid w:val="751F4E4D"/>
    <w:rsid w:val="75365A45"/>
    <w:rsid w:val="753A7952"/>
    <w:rsid w:val="75695258"/>
    <w:rsid w:val="75902F3A"/>
    <w:rsid w:val="759405A7"/>
    <w:rsid w:val="75A63589"/>
    <w:rsid w:val="75DC0653"/>
    <w:rsid w:val="76062968"/>
    <w:rsid w:val="7611390D"/>
    <w:rsid w:val="764005B4"/>
    <w:rsid w:val="767A7521"/>
    <w:rsid w:val="76CE1726"/>
    <w:rsid w:val="76D651F1"/>
    <w:rsid w:val="76F50BEF"/>
    <w:rsid w:val="77006172"/>
    <w:rsid w:val="7716177B"/>
    <w:rsid w:val="77295047"/>
    <w:rsid w:val="776E46D3"/>
    <w:rsid w:val="77804438"/>
    <w:rsid w:val="779B1590"/>
    <w:rsid w:val="77A810FF"/>
    <w:rsid w:val="77D87594"/>
    <w:rsid w:val="787023AD"/>
    <w:rsid w:val="789D0A12"/>
    <w:rsid w:val="789E7AD1"/>
    <w:rsid w:val="78A61721"/>
    <w:rsid w:val="78B46C37"/>
    <w:rsid w:val="78CF4983"/>
    <w:rsid w:val="790C2CFF"/>
    <w:rsid w:val="79180249"/>
    <w:rsid w:val="797246AC"/>
    <w:rsid w:val="797D7E28"/>
    <w:rsid w:val="79C42F7E"/>
    <w:rsid w:val="79E144F4"/>
    <w:rsid w:val="7A2249E1"/>
    <w:rsid w:val="7A235F84"/>
    <w:rsid w:val="7A2C3FFC"/>
    <w:rsid w:val="7A425221"/>
    <w:rsid w:val="7A672245"/>
    <w:rsid w:val="7A842CFF"/>
    <w:rsid w:val="7A8E15E3"/>
    <w:rsid w:val="7AAE11FC"/>
    <w:rsid w:val="7AC05D52"/>
    <w:rsid w:val="7AC52A3A"/>
    <w:rsid w:val="7AC842C4"/>
    <w:rsid w:val="7AD97CB4"/>
    <w:rsid w:val="7ADC4D6F"/>
    <w:rsid w:val="7AED0F3A"/>
    <w:rsid w:val="7B175992"/>
    <w:rsid w:val="7B1D4E9D"/>
    <w:rsid w:val="7B3728D3"/>
    <w:rsid w:val="7B5A6B87"/>
    <w:rsid w:val="7BD110F6"/>
    <w:rsid w:val="7C7B1DEA"/>
    <w:rsid w:val="7CA2527C"/>
    <w:rsid w:val="7CCC67AF"/>
    <w:rsid w:val="7CE90343"/>
    <w:rsid w:val="7D3904DE"/>
    <w:rsid w:val="7D4B44E8"/>
    <w:rsid w:val="7D592A41"/>
    <w:rsid w:val="7DB06963"/>
    <w:rsid w:val="7DE47111"/>
    <w:rsid w:val="7E0341ED"/>
    <w:rsid w:val="7E623DFC"/>
    <w:rsid w:val="7E75287A"/>
    <w:rsid w:val="7E8E4B0B"/>
    <w:rsid w:val="7EC85572"/>
    <w:rsid w:val="7EE6305E"/>
    <w:rsid w:val="7F236974"/>
    <w:rsid w:val="7F4528DE"/>
    <w:rsid w:val="7F621431"/>
    <w:rsid w:val="7F6E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宋体" w:cs="Times New Roman"/>
      <w:kern w:val="2"/>
      <w:sz w:val="21"/>
      <w:szCs w:val="22"/>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next w:val="1"/>
    <w:unhideWhenUsed/>
    <w:qFormat/>
    <w:uiPriority w:val="99"/>
    <w:pPr>
      <w:spacing w:after="120"/>
    </w:p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广发银行</Company>
  <Pages>1</Pages>
  <Words>0</Words>
  <Characters>0</Characters>
  <Lines>0</Lines>
  <Paragraphs>0</Paragraphs>
  <TotalTime>0</TotalTime>
  <ScaleCrop>false</ScaleCrop>
  <LinksUpToDate>false</LinksUpToDate>
  <CharactersWithSpaces>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2024-10-11T07:43:00Z</dcterms:created>
  <dc:creator>范欣羽</dc:creator>
  <cp:lastModifiedBy>范欣羽</cp:lastModifiedBy>
  <dcterms:modified xsi:type="dcterms:W3CDTF">2024-10-11T09:04:08Z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13D68E3243414A8D8BCDB0EEB2419CCE</vt:lpwstr>
  </property>
</Properties>
</file>