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v2.20（2026-08-31）｜代码基态：PSA_framework.v（18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ca_merged_full_25.v（93953 行，67 模块分区（含 M2 批次 7 分区，2026-08-30 并入），MERGE_EXIT=0）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67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67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67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</w:t>
      </w:r>
      <w:r>
        <w:rPr>
          <w:rFonts w:ascii="Times New Roman" w:hAnsi="Times New Roman" w:eastAsia="宋体"/>
          <w:b/>
          <w:i w:val="0"/>
          <w:sz w:val="24"/>
        </w:rPr>
        <w:t>不在本 Artifact 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、零挂起证明义务（CI 语句形 grep + coqchk 内核复验 + 165 项 Print Assumptions 审计三重背书）；四原子需组装 6 对逐对界，但两两相干判据已关窗（μ·4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机器判定），扩展须改走精确 Gram 特征值口径（G-1 闭式）的数值裁决，其结果（λ_min 是否 &gt; 0）未定——「直截」仅指判定动作本身，不预支结论。该扩展与更大阶实例（如 C=9 的 s≤4）及与 ρ^{−3/2} 行和紧界（§5.6.5，C=4 行和 2π/7 &lt; 1）的合成显式列为后续工作（future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行，67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