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，93953 行 / 67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（37.87）——测试时修复不是无无免费午餐定理定理，NTK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不变——排除严重退化风险）。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绝对编码性能严重退化（分布内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非「无任何经典原则」；公理依赖仅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（93953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67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精确正交证书，但外推性能严重退化——μ=0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Admitted、公理依赖与主线 165 项审计一致（classic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Admitted、公理依赖与主线 165 项审计一致、classic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（dd = Σ|c_j|）——桥墩已建、桥面（端到端 PPL 影响量化）如实仍为实证轨道。——证书与性能的张力如实记录：证书⟹̸性能（C=4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</w:t>
      </w:r>
      <w:r>
        <w:rPr>
          <w:rFonts w:ascii="Times New Roman" w:hAnsi="Times New Roman" w:eastAsia="宋体"/>
          <w:b/>
          <w:i w:val="0"/>
          <w:sz w:val="24"/>
        </w:rPr>
        <w:t>Welch 下界定理侧（G-7，`probe_g7_welch_cr.v`，2026-08-31，纯构造性轨道：ConstructiveReals 接口、零经典公理、六段审计全 Closed、提取物 `g7_welch_cr.ml`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：G-8 相图合成（字典最优性 ⟹ 恢复保证）的 Welch 前提由抽象前提升级为已证定理——Frobenius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，14 Qed，与 G-8 前提签名逐字一致；已并入合并版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，92506 行 68 模块分区，本地 2.5 全量编译 EXIT=0；实原子版衔接 G-8 抽象相干上界，复原子版列为后续工作）——字典设计最优性（Welch 下界）与恢复保证（唯一性窗口）的相图两端均为机器检查定理。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src\ca_merged_full_25.v（93953 行，67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