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顶层模块，SHA-256 基 4901f18e，MERGE_EXIT=0，公理审计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战役族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相变存在性定理）的公理脚印含完整排中律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"结论限于 165 项审计范围，不覆盖合并版全部定理；应用层注意力证书/框架界/反射检查器定理链不受影响。审计分层口径：165 项输出块 = 54 项 Closed under the global context + 111 项 Dedekind 三公理脚印；构造性轨道（ca_rip_cr.v 33 定理、probe_uncertainty_cr.v 35 定理、probe_taugrid_cr.v 13 定理）各有独立 Print Assumptions 审计且全部 Closed，不在 165 项之内。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张力宣言（证书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网格拥有最干净的精确正交证书却外推崩溃（25.66）；ALiBi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此宣言）。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