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正式版（2026-08-30 更新，对齐母版 v2.8；对齐当前代码基态）。来源：论文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实验数据不变；配套论文 A（Coq 形式化）代码状态按 2026-08-30 基态（合并版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，87632 行 / 57 顶层 Module = 55 模块分区，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20 探针 + ca_zeta_euler/ca_rip_cr 构造性轨道并入、合并编译 MERGE_EXIT=0；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 2026-08-30：编译 + 零 Admitted 检查 + coqchk 内核复验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；165 项审计完整 165/165 日志随稿）。投稿方向：TACL/Findings（实证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——带证书方案与无证书上限的差距被如实量化（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（经验观察，如实声明）。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如实标注。）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（如实边界）：配套形式化不主张解释本经验律——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（排中律宏）零出现（「classical-free」精确指排中律宏零出现，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20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pairdirichlet/incoherence/row_rip/c4_instance/welch/uncertainty_cr/g8_synthesis_cr/g1_norm_closed/g2_mu_adj + 构造性族 pi_cr_m1a/m1b/sin_cr_m2/sqrt_cr_m3/s7_s9_mono/decidability_premium_cr）已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（87632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57 顶层 Module = 55 模块分区，合并编译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张力（可发表点，如实呈现）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4.47）的差距须如实量化：**2.85×（C=4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Reviewer P2 note (2026-08-26)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here is the </w:t>
      </w:r>
      <w:r>
        <w:rPr>
          <w:rFonts w:ascii="Times New Roman" w:hAnsi="Times New Roman" w:eastAsia="宋体"/>
          <w:b/>
          <w:i/>
          <w:color w:val="444444"/>
          <w:sz w:val="21"/>
        </w:rPr>
        <w:t>empirical effective-encoding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(pairwise normalized inner product at evaluation length T, T-dependent, e.g. C=4: 0.0317/0.0009 at T=512/4096) — </w:t>
      </w:r>
      <w:r>
        <w:rPr>
          <w:rFonts w:ascii="Times New Roman" w:hAnsi="Times New Roman" w:eastAsia="宋体"/>
          <w:b/>
          <w:i/>
          <w:color w:val="444444"/>
          <w:sz w:val="21"/>
        </w:rPr>
        <w:t>not the same quantity as the certificate-layer ψ-Gram coherence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is provided for reproducibility.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formal-config 3-seed replication (B1 + FOLLOWUP chains, ⚠️ gutenberg · 27000 iters, seeds {1337, 2026, 31415}, batch8/16 downgraded)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scheme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The relative-vs-explicit frequency dichotomy reproduces under deep training (27000 iters, 3 seeds)</w:t>
      </w:r>
      <w:r>
        <w:rPr>
          <w:rFonts w:ascii="Times New Roman" w:hAnsi="Times New Roman" w:eastAsia="宋体"/>
          <w:b w:val="0"/>
          <w:i w:val="0"/>
          <w:sz w:val="24"/>
        </w:rP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 </w:t>
      </w:r>
      <w:r>
        <w:rPr>
          <w:rFonts w:ascii="Times New Roman" w:hAnsi="Times New Roman" w:eastAsia="宋体"/>
          <w:b/>
          <w:i w:val="0"/>
          <w:sz w:val="24"/>
        </w:rPr>
        <w:t>Config-dependent mid-table ordering (honest qualifier)</w:t>
      </w:r>
      <w:r>
        <w:rPr>
          <w:rFonts w:ascii="Times New Roman" w:hAnsi="Times New Roman" w:eastAsia="宋体"/>
          <w:b w:val="0"/>
          <w:i w:val="0"/>
          <w:sz w:val="24"/>
        </w:rPr>
        <w:t xml:space="preserve">: quick-config n=10 main table is e5pp&lt;c2&lt;c4 and c3&lt;grid&lt;rope, while formal-config is </w:t>
      </w:r>
      <w:r>
        <w:rPr>
          <w:rFonts w:ascii="Times New Roman" w:hAnsi="Times New Roman" w:eastAsia="宋体"/>
          <w:b/>
          <w:i w:val="0"/>
          <w:sz w:val="24"/>
        </w:rPr>
        <w:t>c4&lt;e5pp&lt;c2</w:t>
      </w:r>
      <w:r>
        <w:rPr>
          <w:rFonts w:ascii="Times New Roman" w:hAnsi="Times New Roman" w:eastAsia="宋体"/>
          <w:b w:val="0"/>
          <w:i w:val="0"/>
          <w:sz w:val="24"/>
        </w:rPr>
        <w:t xml:space="preserve"> (s2026/s31415) and c4&lt;c2≈e5pp (s1337) — </w:t>
      </w:r>
      <w:r>
        <w:rPr>
          <w:rFonts w:ascii="Times New Roman" w:hAnsi="Times New Roman" w:eastAsia="宋体"/>
          <w:b/>
          <w:i w:val="0"/>
          <w:sz w:val="24"/>
        </w:rPr>
        <w:t>c4/c3/rope relative order flips between quick↔formal configs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main-table ordering (core data, n=10 replicated 3→10 seeds) is defined on the quick config; the formal config supports only the two-family dichotomy, not mid-table ordering. </w:t>
      </w:r>
      <w:r>
        <w:rPr>
          <w:rFonts w:ascii="Times New Roman" w:hAnsi="Times New Roman" w:eastAsia="宋体"/>
          <w:b/>
          <w:i w:val="0"/>
          <w:sz w:val="24"/>
        </w:rPr>
        <w:t>Validity note</w:t>
      </w:r>
      <w:r>
        <w:rPr>
          <w:rFonts w:ascii="Times New Roman" w:hAnsi="Times New Roman" w:eastAsia="宋体"/>
          <w:b w:val="0"/>
          <w:i w:val="0"/>
          <w:sz w:val="24"/>
        </w:rPr>
        <w:t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corpus-identity erratum (E148)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this table's data are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corpus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) — the local chains ran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without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, triggering a silent fallback in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(see 《论文B-数据口径勘误-语料回退-20260827.md》). The earlier validity note's corpus claims were </w:t>
      </w:r>
      <w:r>
        <w:rPr>
          <w:rFonts w:ascii="Times New Roman" w:hAnsi="Times New Roman" w:eastAsia="宋体"/>
          <w:b/>
          <w:i/>
          <w:color w:val="444444"/>
          <w:sz w:val="21"/>
        </w:rPr>
        <w:t>inverted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: 1.8e8 chars (179870967) is tinystories200, 5.1e6 is gutenberg; rand_s2026 = 6.44 is a re-run </w:t>
      </w:r>
      <w:r>
        <w:rPr>
          <w:rFonts w:ascii="Times New Roman" w:hAnsi="Times New Roman" w:eastAsia="宋体"/>
          <w:b/>
          <w:i/>
          <w:color w:val="444444"/>
          <w:sz w:val="21"/>
        </w:rPr>
        <w:t>on gutenberg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. </w:t>
      </w:r>
      <w:r>
        <w:rPr>
          <w:rFonts w:ascii="Times New Roman" w:hAnsi="Times New Roman" w:eastAsia="宋体"/>
          <w:b/>
          <w:i/>
          <w:color w:val="444444"/>
          <w:sz w:val="21"/>
        </w:rPr>
        <w:t>The two-family dichotomy (alibi/t5rel flat vs explicit-frequency/structured degrade) still holds under gutenberg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(consistent with the main experiment's gutenberg 3000 pattern); absolute values are </w:t>
      </w:r>
      <w:r>
        <w:rPr>
          <w:rFonts w:ascii="Times New Roman" w:hAnsi="Times New Roman" w:eastAsia="宋体"/>
          <w:b/>
          <w:i/>
          <w:color w:val="444444"/>
          <w:sz w:val="21"/>
        </w:rPr>
        <w:t>not directly comparable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to the cloud tinystories200 formal config (§10.9 main table: alibi 2.11 etc., correct corpus). A tinystories200 · 27000 formal re-run is scheduled (all three training chains fixed with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corpus-fingerprint self-check).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</w:t>
      </w:r>
      <w:r>
        <w:rPr>
          <w:rFonts w:ascii="Times New Roman" w:hAnsi="Times New Roman" w:eastAsia="宋体"/>
          <w:b/>
          <w:i w:val="0"/>
          <w:sz w:val="24"/>
        </w:rPr>
        <w:t xml:space="preserve">及形式化碰撞结构支撑（碰撞 ⟺ 有理、无理偏移零碰撞、ALiBi 无碰撞端点、近碰撞半径 1/(3d)，论文 A §5.6.4）及 </w:t>
      </w:r>
      <w:r>
        <w:rPr>
          <w:rFonts w:ascii="Times New Roman" w:hAnsi="Times New Roman" w:eastAsia="宋体"/>
          <w:b w:val="0"/>
          <w:i w:val="0"/>
          <w:sz w:val="24"/>
        </w:rPr>
        <w:t>τ 裁剪定理侧机器检查**（覆盖债量化/裁剪证书单调/近重复对爆炸/offset 无关性——z 区 64 Qed，论文 A §5.6.6 CS-11–CS-14）——「交易是周期参数化的属性，非周期偏置近零代价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但变量已被命名、仪器已就位、边界已被如实标出。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src\ca_merged_full_25.v（87632 行，57 顶层 Module = 55 模块分区，20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