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﻿# 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代码基态：合并版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（87632 行，57 顶层模块，SHA-256 基 4901f18e，MERGE_EXIT=0，公理审计 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零出现（2026-08-30 重跑确认）；持续集成全链路验证通过——lib 依赖链、合并版编译（Rocq 9.0 + mathcomp 2.6）、PSA 核心编译、零 Admitted 检查、coqchk 内核独立复验）。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representations), all machine-checked; on the C=4 ladder the instance μ = 11289/33920 &lt; 1/3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yields 3-atom sparse uniqueness for [3,13,53].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Contribution-type statement.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This paper is 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formalization engineering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: the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contribution is a decidability methodology (the relaxation chain), a reflective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checker mechanism, and audit discipline — not new mathematics (all proved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statements are machine-checked instantiations of classical results; see §9.1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for library comparisons). Readers weighing mathematical novelty as the primary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criterion should read with this positioning in mind.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57 顶层 Module 全量编译。以下贡献清单中的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exp(2·d) − 1）。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镜像仅经 FFI 24/24 交叉校验，未形式化验证其等价性，且限有限整数范围，详见 §6**）；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分数/softmax/PPL；与外推 PPL 改善之间的桥梁是经验观察，未经形式化。该证书与 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不组合——后者刻画谱能量丢弃 ⟹ 注意力输出扰动，前者刻画基表示范数稳定性，两个定理簇相互独立。当反射检查器返回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 不变，§5.3/§10）。证书链是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三处语义修正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87632 行 / 57 顶层 Module（55 模块分区 + `ca_independence` 内 `independent`/`independent′` 2 附加）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独立模块 + </w:t>
      </w:r>
      <w:r>
        <w:rPr>
          <w:rFonts w:ascii="Times New Roman" w:hAnsi="Times New Roman" w:eastAsia="宋体"/>
          <w:b/>
          <w:i w:val="0"/>
          <w:sz w:val="24"/>
        </w:rPr>
        <w:t>20 个 z 区探针</w:t>
      </w:r>
      <w:r>
        <w:rPr>
          <w:rFonts w:ascii="Times New Roman" w:hAnsi="Times New Roman" w:eastAsia="宋体"/>
          <w:b w:val="0"/>
          <w:i w:val="0"/>
          <w:sz w:val="24"/>
        </w:rPr>
        <w:t>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CS 定理族 taugrid/taugrid_cr/cs/cs5（2026-08-29，合计 64 Qed，未并入合并版）</w:t>
      </w:r>
      <w:r>
        <w:rPr>
          <w:rFonts w:ascii="Times New Roman" w:hAnsi="Times New Roman" w:eastAsia="宋体"/>
          <w:b w:val="0"/>
          <w:i w:val="0"/>
          <w:sz w:val="24"/>
        </w:rPr>
        <w:t>），</w:t>
      </w:r>
      <w:r>
        <w:rPr>
          <w:rFonts w:ascii="Consolas" w:hAnsi="Consolas" w:eastAsia="等线"/>
          <w:b w:val="0"/>
          <w:i w:val="0"/>
          <w:sz w:val="22"/>
        </w:rPr>
        <w:t>_merge_ca.py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重新生成，</w:t>
      </w:r>
      <w:r>
        <w:rPr>
          <w:rFonts w:ascii="Times New Roman" w:hAnsi="Times New Roman" w:eastAsia="宋体"/>
          <w:b/>
          <w:i w:val="0"/>
          <w:sz w:val="24"/>
        </w:rPr>
        <w:t>全量合并编译 MERGE_EXIT=0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9 个：8 经典 pro 化 + c4_instance）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5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零出现；公理依赖仅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方向，future work）。相邻对有理界极限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（真值超阈），不在误拒之列。 </w:t>
      </w:r>
      <w:r>
        <w:rPr>
          <w:rFonts w:ascii="Times New Roman" w:hAnsi="Times New Roman" w:eastAsia="宋体"/>
          <w:b/>
          <w:i w:val="0"/>
          <w:sz w:val="24"/>
        </w:rPr>
        <w:t>充要性精确层口径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证明——精确有理算术层上检查器通过与否等价于 Gershgorin 行和阈值条件；假阴性全部来源于可判定松弛层的保守性，而非检查器逻辑的完备性缺口（[3,7,15] 精确行和 ≈0.787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49.1%，占拒绝 70.9%），集中于"有用"阶梯（C=2/3-sparse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false（假阴性）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语义一致时接近。根本消除：Zarith（任意精度）提取（future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函数，运行时可判定成员资格）；4 段 Print Assumptions 全 Closed（零公理）。全窗口任意阶梯的运行时安全检查与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零公理）。。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更紧）——素数阶梯论证完整（存在性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端点。**首个实例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（CS-18，</w:t>
      </w:r>
      <w:r>
        <w:rPr>
          <w:rFonts w:ascii="Consolas" w:hAnsi="Consolas" w:eastAsia="等线"/>
          <w:b w:val="0"/>
          <w:i w:val="0"/>
          <w:sz w:val="22"/>
        </w:rPr>
        <w:t>probe_ab_bridge_pier.v</w:t>
      </w:r>
      <w:r>
        <w:rPr>
          <w:rFonts w:ascii="Times New Roman" w:hAnsi="Times New Roman" w:eastAsia="宋体"/>
          <w:b w:val="0"/>
          <w:i w:val="0"/>
          <w:sz w:val="24"/>
        </w:rPr>
        <w:t>，2026-08-30）**：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——psi 核相邻位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不等式路线）+ 窗口截断一致化 dc = INR(W−W')·(1/2)（带 ≥2：√v_i·√v_j ≥ 2）⟹ softmax TVD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exp(2·dc·dd) − 1（dd = Σ|c_j|）——「无形式化桥梁」负面声明升级为「中间桥墩已机器检查」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压缩感知三角闭合合成定理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；前提状态：G-7 的完整构造性证明为后续工作，本合成定理在 Welch 前提悬空下陈述逻辑蕴含）与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Welch 下界本身（G-7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⟺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的充要条件）——把"检查器通过 ⟹ 框架界"从单向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充分升级为 iff，与 G-5 反例构成可判定性边界的完整刻画。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35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49.1%"的论述升级为具体机器检查反例，是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Closed——相干缺口闭合的构造性完成）。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；第 4 原子 213 未覆盖）；全窗口 [3,13,53,213] 四原子的稀疏唯一性扩展是直截但未完成的计算（必要的逐对相干界已在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）；更大阶实例（如 C=9 的 s≤4 或全窗口 [3,13,53,213] 四原子）及与 ρ^{−3/2} 行和紧界的合成为后续工作（future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≈ 1.33 &gt; 1；出路——精确 Gram 特征值口径（G-1 闭式）、严格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覆盖、Welch-窗口合成的理论极限陈述。</w:t>
      </w:r>
      <w:r>
        <w:rPr>
          <w:rFonts w:ascii="Times New Roman" w:hAnsi="Times New Roman" w:eastAsia="宋体"/>
          <w:b/>
          <w:i w:val="0"/>
          <w:sz w:val="24"/>
        </w:rPr>
        <w:t>数学新颖性说明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 与 C4_sparse_uniqueness_3 是 Gershgorin/互干性唯一恢复、RIP、Donoho–Stark 不确定性原理与 Welch 界-恢复保证相图的机器检查，数学上非新，形式化价值在 Coq 验证（含 C=4 具体常数核验、行和版 RIP 常数紧化路径、构造性轨道独立性验证与三角闭合相图合成）。本族主要探针已并入合并版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合并双通过；G-3（probe_g3_criterion）/G-5（probe_g5_premium）未并入合并版（z 区探针待合并），probe_recovery_cr 为构造性轨道独立验证。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应恶化"的定理侧镜像）；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完全支撑训练窗，iff）；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全族——上界型证书不损）；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——randmax256/384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全 Closed 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u（cos/复指数构造性未实现，接口与主线数学一致）；</w:t>
      </w:r>
      <w:r>
        <w:rPr>
          <w:rFonts w:ascii="Times New Roman" w:hAnsi="Times New Roman" w:eastAsia="宋体"/>
          <w:b/>
          <w:i w:val="0"/>
          <w:sz w:val="24"/>
        </w:rPr>
        <w:t>严格序 CRlt 本身是 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/\），sigT 被类型系统强制；序判定下放 Q 层（Qlt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∀s 一致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10：测量 y = y' ⟹ 系数 c = c'——测量端信息不丢失）；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（spark ≥ n+1，Elad–Bruckstein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（≤ 2πq/(1−q)）；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Gershgorin 型 RIP 证书在含近重复对梯子上必然失效，"剪 503/255/127 应恶化"完整定理链）。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>（≤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——偏移在差频中相消，pair_dirichlet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ℤ）——ogrid 实验的定理侧。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（165/165 块随稿 co-locate，111 段 Axioms + 54 项 Closed，2026-08-26 重跑）+ 定理索引 </w:t>
      </w:r>
      <w:r>
        <w:rPr>
          <w:rFonts w:ascii="Consolas" w:hAnsi="Consolas" w:eastAsia="等线"/>
          <w:b w:val="0"/>
          <w:i w:val="0"/>
          <w:sz w:val="22"/>
        </w:rPr>
        <w:t>audit_index_20260826.txt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**；构建配置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基于实数库，可能含经典公理，已明确声明）。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审计范围与合并版全基态的边界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（μ 单调 ⟹ 相变存在性定理）的公理依赖含完整排中律 </w:t>
      </w:r>
      <w:r>
        <w:rPr>
          <w:rFonts w:ascii="Consolas" w:hAnsi="Consolas" w:eastAsia="等线"/>
          <w:b w:val="0"/>
          <w:i w:val="0"/>
          <w:sz w:val="22"/>
        </w:rPr>
        <w:t>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与本地编译日志一致确认）——"零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"结论限于 165 项审计范围，不覆盖合并版全部定理；应用层注意力证书/框架界/反射检查器定理链不受影响。审计分层口径：165 项输出块 = 54 项 Closed under the global context + 111 项 Dedekind 公理依赖（80 项三公理依赖 + 29 项 sig_forall_dec+fext + 2 项仅 sig_forall_dec，机器可读索引 </w:t>
      </w:r>
      <w:r>
        <w:rPr>
          <w:rFonts w:ascii="Consolas" w:hAnsi="Consolas" w:eastAsia="等线"/>
          <w:b w:val="0"/>
          <w:i w:val="0"/>
          <w:sz w:val="22"/>
        </w:rPr>
        <w:t>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）；构造性轨道（ca_rip_cr.v 33 定理、probe_uncertainty_cr.v 35 定理、probe_taugrid_cr.v 13 定理）各有独立 Print Assumptions 审计且全部 Closed，不在 165 项之内。</w:t>
      </w: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：Stdlib </w:t>
      </w:r>
      <w:r>
        <w:rPr>
          <w:rFonts w:ascii="Consolas" w:hAnsi="Consolas" w:eastAsia="等线"/>
          <w:b w:val="0"/>
          <w:i w:val="0"/>
          <w:sz w:val="22"/>
        </w:rPr>
        <w:t>ConstructiveRcomplete.v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 接口与柯西实例）自身 Axiom/Parameter 计数 = </w:t>
      </w:r>
      <w:r>
        <w:rPr>
          <w:rFonts w:ascii="Times New Roman" w:hAnsi="Times New Roman" w:eastAsia="宋体"/>
          <w:b/>
          <w:i w:val="0"/>
          <w:sz w:val="24"/>
        </w:rPr>
        <w:t>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（源文件直接核验——接口不依赖 funext、不依赖排中律）；构造性轨道各模块 Print Assumptions 全部 "Closed under the global context"（零公理，含 funext/classic 均零依赖），机器可读清单 </w:t>
      </w:r>
      <w:r>
        <w:rPr>
          <w:rFonts w:ascii="Consolas" w:hAnsi="Consolas" w:eastAsia="等线"/>
          <w:b w:val="0"/>
          <w:i w:val="0"/>
          <w:sz w:val="22"/>
        </w:rPr>
        <w:t>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差异关闭）</w:t>
      </w:r>
      <w:r>
        <w:rPr>
          <w:rFonts w:ascii="Times New Roman" w:hAnsi="Times New Roman" w:eastAsia="宋体"/>
          <w:b w:val="0"/>
          <w:i w:val="0"/>
          <w:sz w:val="24"/>
        </w:rPr>
        <w:t>：PSA_audit.v 头注释提及 "Print Assumptions" 字样致子串计数 +1——语句实为 165 条，与日志 165 块一一对齐。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过时记载更正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所载"4 项经 exp Rpower/MVT 继承 classic"系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（2026-08-19）过时记录；合并版 L63579（Module ExpSeries）/L63672（exp_mono_le_noclassic）/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路线位于应用层之外，已明确声明）；z 区并入合并版的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（87632 行，57 顶层 Module = 55 模块分区 + </w:t>
      </w:r>
      <w:r>
        <w:rPr>
          <w:rFonts w:ascii="Consolas" w:hAnsi="Consolas" w:eastAsia="等线"/>
          <w:b w:val="0"/>
          <w:i w:val="0"/>
          <w:sz w:val="22"/>
        </w:rPr>
        <w:t>independent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independent′</w:t>
      </w:r>
      <w:r>
        <w:rPr>
          <w:rFonts w:ascii="Times New Roman" w:hAnsi="Times New Roman" w:eastAsia="宋体"/>
          <w:b w:val="0"/>
          <w:i w:val="0"/>
          <w:sz w:val="24"/>
        </w:rPr>
        <w:t xml:space="preserve"> 2 附加，含 ca_zeta_euler / ca_rip_cr 构造性轨道 + 20 个 z 区探针）；归档基态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src/ca_merged_full_25.v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（MERGE_EXIT=0）。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</w:t>
      </w:r>
      <w:r>
        <w:rPr>
          <w:rFonts w:ascii="Times New Roman" w:hAnsi="Times New Roman" w:eastAsia="宋体"/>
          <w:b/>
          <w:i w:val="0"/>
          <w:sz w:val="24"/>
        </w:rPr>
        <w:t xml:space="preserve">而非类型/内存安全证明。与 </w:t>
      </w:r>
      <w:r>
        <w:rPr>
          <w:rFonts w:ascii="Times New Roman" w:hAnsi="Times New Roman" w:eastAsia="宋体"/>
          <w:b w:val="0"/>
          <w:i w:val="0"/>
          <w:sz w:val="24"/>
        </w:rPr>
        <w:t>VST/Iris** 等分离逻辑框架的方法论类比：同为「证明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随组件携带」，但证书对象不同——VST/Iris 面向内存安全与并发正确性，本工作面向数值界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>：mathlib 的经典实数与分析学体系与本开发 Dedekind 主轨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哲学一致；本开发构造性轨道的 ConstructiveReals（柯西序列、CRlt 为 Set 值）与 Lean 经典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Real 在「序是否携带信息」上的哲学差异，构成构造性/经典双轨对照的第三参照系。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13.1 Design Choices vs. Alternative Libraries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Real-number representation: Dedekind main track + ConstructiveReals dual track.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main track uses the Stdlib Reals Dedekind reals, for two reasons: (a) mature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interoperability with Coquelicot (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, complex numbers, derivatives)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mathcomp ecosystem; (b) the three classical axioms (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 xml:space="preserve">, 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>) are used only at the proof layer and never enter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computational content. The cost is non-constructivity; the core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theorems (k-atom RIP, sparse uniqueness, coherent-dictionary uncertainty,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decidability-premium synthesis) are therefore independently re-proven over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 xml:space="preserve"> (Cauchy-sequence representation whose 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carries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approximation data as a Set), giving 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(33 theorems, zero axioms) as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 independence check on the classical formalization rather than a redundancy.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We did not use mathcomp's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>: they target algebraic reals and do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not cover the analytic structure needed for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>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Rational layer: mathcomp `Q` + boolean reflection.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 certificate decision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layer (μ=4/5, 11289/33920 &lt; 1/3) lives entirely in the rationals. mathcomp's </w:t>
      </w:r>
      <w:r>
        <w:rPr>
          <w:rFonts w:ascii="Consolas" w:hAnsi="Consolas" w:eastAsia="等线"/>
          <w:b w:val="0"/>
          <w:i w:val="0"/>
          <w:sz w:val="22"/>
        </w:rPr>
        <w:t>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was chosen over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 xml:space="preserve"> for consistency with the ssreflect boolean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reflection style (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decisions map directly to runtime booleans)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native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decidability.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Why not Flocq</w:t>
      </w:r>
      <w:r>
        <w:rPr>
          <w:rFonts w:ascii="Times New Roman" w:hAnsi="Times New Roman" w:eastAsia="宋体"/>
          <w:b w:val="0"/>
          <w:i w:val="0"/>
          <w:sz w:val="24"/>
        </w:rPr>
        <w:t>: Flocq formalizes IEEE floating-point semantics; its goal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correctness of float implementations. Our goal is the opposite — replacing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floating-point numerical bounds by decidable rational certificates. The two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orthogonal. </w:t>
      </w:r>
      <w:r>
        <w:rPr>
          <w:rFonts w:ascii="Times New Roman" w:hAnsi="Times New Roman" w:eastAsia="宋体"/>
          <w:b/>
          <w:i w:val="0"/>
          <w:sz w:val="24"/>
        </w:rPr>
        <w:t>Why not interval arithmetic</w:t>
      </w:r>
      <w:r>
        <w:rPr>
          <w:rFonts w:ascii="Times New Roman" w:hAnsi="Times New Roman" w:eastAsia="宋体"/>
          <w:b w:val="0"/>
          <w:i w:val="0"/>
          <w:sz w:val="24"/>
        </w:rPr>
        <w:t xml:space="preserve"> (Coquelicot Interval / the Interval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plugin): interval methods produce enclosing intervals with externally certified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bounds; our relaxation chain (floor-sqrt → Jordan → Dirichlet → π←22/7) reduces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to one-sided rational domination closed by `compute;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field` — no interval arithmetic, no oracle. </w:t>
      </w:r>
      <w:r>
        <w:rPr>
          <w:rFonts w:ascii="Times New Roman" w:hAnsi="Times New Roman" w:eastAsia="宋体"/>
          <w:b/>
          <w:i w:val="0"/>
          <w:sz w:val="24"/>
        </w:rPr>
        <w:t>Why not CoqEAL refinement</w:t>
      </w:r>
      <w:r>
        <w:rPr>
          <w:rFonts w:ascii="Times New Roman" w:hAnsi="Times New Roman" w:eastAsia="宋体"/>
          <w:b w:val="0"/>
          <w:i w:val="0"/>
          <w:sz w:val="24"/>
        </w:rPr>
        <w:t>: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refinement paradigm suits "Nat prototype → efficient Z/bin"; our direction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inverted — the 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checker is the </w:t>
      </w:r>
      <w:r>
        <w:rPr>
          <w:rFonts w:ascii="Times New Roman" w:hAnsi="Times New Roman" w:eastAsia="宋体"/>
          <w:b w:val="0"/>
          <w:i/>
          <w:sz w:val="24"/>
        </w:rPr>
        <w:t>specification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(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stated about the nat decision procedure) and the OCaml int mirror is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approximation (§6).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Reflective checker vs. general decision procedures</w:t>
      </w:r>
      <w:r>
        <w:rPr>
          <w:rFonts w:ascii="Times New Roman" w:hAnsi="Times New Roman" w:eastAsia="宋体"/>
          <w:b w:val="0"/>
          <w:i w:val="0"/>
          <w:sz w:val="24"/>
        </w:rPr>
        <w:t>: compared with CAD-style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decision procedures,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not a general decision procedure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but a specialized </w:t>
      </w:r>
      <w:r>
        <w:rPr>
          <w:rFonts w:ascii="Times New Roman" w:hAnsi="Times New Roman" w:eastAsia="宋体"/>
          <w:b w:val="0"/>
          <w:i/>
          <w:sz w:val="24"/>
        </w:rPr>
        <w:t>sufficient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condition for the Gershgorin row-sum test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conservatively sound (false-negative rate 49.1% quantified; exact-layer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iff-criterion proven as G-3; false negatives attributed to the decidability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slack layer, not to checker logic), trading generality for decidability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lightness (typical ladders &lt; 1 ms).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**Graduated upgrade (CS-17, 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>, probe_frame_check_graduated.v,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2026-08-30)**: the checker is upgraded from a binary verdict to a four-tier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graduated service — L1_tight (binary checker passes ⟹ Gershgorin frame bounds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9/5]·S), L2_composite (structure valid and per-pair coherence δ_ij ≤ 1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composite energy bounds (S−coh, S+coh), automating the seven-band champion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certificate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), L3_energy_only (black-hole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 ⟹ upper half only), L4_rejected (structure invalid) — with soundness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theorem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discharging each tier's promise.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Computed distribution covers all four tiers ([3,13]→L1; [3,7,15]→L2,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false-negative class demoted from rejection to degraded service; [2,3]→L3;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unsorted/empty→L4); the decision function is nat-extractable (graded entry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point for psa_guard).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13.2 Feedback on Rocq /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Four rounds of large-scale adaptation (this development spans mathcomp 2.5/2.6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Rocq 9.0.x/9.1.x) yielded the following first-hand feedback: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rewrite behavior change</w:t>
      </w:r>
      <w:r>
        <w:rPr>
          <w:rFonts w:ascii="Times New Roman" w:hAnsi="Times New Roman" w:eastAsia="宋体"/>
          <w:b w:val="0"/>
          <w:i w:val="0"/>
          <w:sz w:val="24"/>
        </w:rPr>
        <w:t>: the side-condition goal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order of premise-carrying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flipped (last in 2.5, first in 2.6),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systematically breaking position-dependent selectors (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) across large scripts; β-redexes are not matched syntactically;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does not discharge side goals.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goal-order compatibility switch and β-normalizing matching; large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developments should prefer explicit premise parameterization (immune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 versions).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Scope hijacking</w:t>
      </w:r>
      <w:r>
        <w:rPr>
          <w:rFonts w:ascii="Times New Roman" w:hAnsi="Times New Roman" w:eastAsia="宋体"/>
          <w:b w:val="0"/>
          <w:i w:val="0"/>
          <w:sz w:val="24"/>
        </w:rPr>
        <w:t xml:space="preserve">: mathcomp's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notations resolve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scope-opening order, so the same notation may parse to different relations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different points of a file.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optional load mode that does 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shadow Prop notations.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Large nat usability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>-scale nat literals trigger stack warnings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micromega fails on nonlinear nat goals — a painless nat↔Z casting layer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needed.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output lacks theorem names</w:t>
      </w:r>
      <w:r>
        <w:rPr>
          <w:rFonts w:ascii="Times New Roman" w:hAnsi="Times New Roman" w:eastAsia="宋体"/>
          <w:b w:val="0"/>
          <w:i w:val="0"/>
          <w:sz w:val="24"/>
        </w:rPr>
        <w:t>: a 165-entry audit cannot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mechanically align axiom blocks to theorems.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prefix outputs with theorem names — essential for audit automation.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</w:t>
      </w:r>
      <w:r>
        <w:rPr>
          <w:rFonts w:ascii="Times New Roman" w:hAnsi="Times New Roman" w:eastAsia="宋体"/>
          <w:b w:val="0"/>
          <w:i w:val="0"/>
          <w:sz w:val="24"/>
        </w:rPr>
        <w:t>: concatenated-file developments (our 87K-line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merge of 55 partitions) inevitably trigger this warning — official guidance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on safe conditions would help.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Toolchain</w:t>
      </w:r>
      <w:r>
        <w:rPr>
          <w:rFonts w:ascii="Times New Roman" w:hAnsi="Times New Roman" w:eastAsia="宋体"/>
          <w:b w:val="0"/>
          <w:i w:val="0"/>
          <w:sz w:val="24"/>
        </w:rPr>
        <w:t>: coqc with large output over pipes can deadlock (hundreds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warnings during merged compilation); file redirection is required — chunked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flushing or documentation would help.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实数基础设施的非构造原则已明确声明。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的依赖边界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运行日志随稿）；合并版（87632 行，57 顶层 Module = 55 模块分区 + 2 附加，含 20 个 z 区探针 + 构造性轨道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的双轨记录表明：可证性（稀疏性/结构性）与外推性（稠密覆盖/随机性）在频率阶梯语境下呈温和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负相关——三角关系如实记录：随机阶梯在定理侧高概率被拒绝（T2b 负定律）却是实证侧旋转族内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最优（psi-rope-rand 6.45）；μ=0 网格拥有最干净的精确正交证书却外推性能严重退化（25.66）；ALiBi 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碰撞端点定理侧成立且实证全局最优（4.47）却零证书。证书的价值不在预测 PPL，而在提供**可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审计的表示稳定性保证**——这是高风险部署场景中独立于性能指标的决策依据（论文 B §13 同步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此声明）。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src/ca_merged_full_25.v（87632 行，57 顶层 Module，20 探针 + ca_zeta_euler / ca_rip_cr 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实现难点）17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