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（37.87）——测试时修复不是无无免费午餐定理定理，NTK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不变——排除严重退化风险）。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绝对编码性能严重退化（分布内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非「无任何经典原则」；公理依赖仅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精确正交证书，但外推性能严重退化——μ=0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 </w:t>
      </w:r>
      <w:r>
        <w:rPr>
          <w:rFonts w:ascii="Times New Roman" w:hAnsi="Times New Roman" w:eastAsia="宋体"/>
          <w:b/>
          <w:i w:val="0"/>
          <w:sz w:val="24"/>
        </w:rPr>
        <w:t>安全域镜像一致性定理侧（CS-16，`probe_safe_domain.v`，2026-08-30，纯构造性轨道：nat/Z 层、Set 层可计算 Fixpoint、零经典公理、4 段审计全 Closed、提取物 `safe_domain.ml`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：反射检查器提取的 63-bit int 镜像与 Coq 语义的一致性由此从经验性 FFI 交叉校验升级为定理保证——乘积上界递推（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：全因子 0 &lt; d ≤ D ⟹ 0 &lt; zprod l ≤ D^length l，非平凡归纳核）判定 C=4 分母链 [400; 2080; 3500; 20800; 33920] 落在安全域内：连乘 = 2054520832000000000 &lt; 2^63（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运行时可判定——评审 A1"运行时检查器 int 镜像信任鸿沟"在判定链输入落于安全域时闭合。 </w:t>
      </w:r>
      <w:r>
        <w:rPr>
          <w:rFonts w:ascii="Times New Roman" w:hAnsi="Times New Roman" w:eastAsia="宋体"/>
          <w:b/>
          <w:i w:val="0"/>
          <w:sz w:val="24"/>
        </w:rPr>
        <w:t>分级证书检查器定理侧（CS-17，`probe_frame_check_graduated.v`，2026-08-30，经典 R 轨道：零 Admitted、公理依赖与主线 165 项审计一致（classic 零出现）、提取物 `frame_check_graduated.ml`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：反射检查器的方法论由此从二元判定升级为分层服务——四级证书 L1_tight（二元检查器全过 ⟹ Gershgorin 框架界 [1/5, 9/5]·S）、L2_composite（结构有效且逐对相干界 δ_ij ≤ 1 ⟹ 复合能量界 (S−coh, S+coh)，七带冠军证书由手工组装变自动输出）、L3_energy_only（黑洞对 ⟹ 仅上半能量界）、L4_rejected（结构无效），配健全性定理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（级 ⟹ 承诺）；计算验证覆盖四级分布——[3,13]→L1、[3,7,15]→L2（评审 G-5"误拒"类近带阶梯由拒绝变降级服务）、[2,3]→L3、乱序/空→L4。 </w:t>
      </w:r>
      <w:r>
        <w:rPr>
          <w:rFonts w:ascii="Times New Roman" w:hAnsi="Times New Roman" w:eastAsia="宋体"/>
          <w:b/>
          <w:i w:val="0"/>
          <w:sz w:val="24"/>
        </w:rPr>
        <w:t>A-B 桥梁桥墩定理侧（CS-18，`probe_ab_bridge_pier.v`，2026-08-30，经典 R 轨道：零 Admitted、公理依赖与主线 165 项审计一致、classic 零出现；R 层定理不可提取，如实注明）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证书（基表示层）与端到端性能（PPL 实证）的衔接由此获得第一个机器检查的中间桥墩——psi 核 </w:t>
      </w:r>
      <w:r>
        <w:rPr>
          <w:rFonts w:ascii="Consolas" w:hAnsi="Consolas" w:eastAsia="等线"/>
          <w:b w:val="0"/>
          <w:i w:val="0"/>
          <w:sz w:val="22"/>
        </w:rPr>
        <w:t>psi_kernel n m k := re (psi n k *c Cconj (psi m k))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：|psi_kernel n m k − psi_kernel n m (S k)| ≤ 2/(√n·√m)；截断 TVD 桥 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：基核求和窗口从 W 截至 W' 时 |K i j − K' i j| ≤ INR(W−W')·(1/2)（带 ≥2 一致化），实例化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（核漂移 dc ⟹ softmax TVD ≤ exp(2·dc·dd) − 1）得 </w:t>
      </w:r>
      <w:r>
        <w:rPr>
          <w:rFonts w:ascii="Times New Roman" w:hAnsi="Times New Roman" w:eastAsia="宋体"/>
          <w:b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 w:val="0"/>
          <w:i w:val="0"/>
          <w:sz w:val="24"/>
        </w:rPr>
        <w:t>（dd = Σ|c_j|）——桥墩已建、桥面（端到端 PPL 影响量化）如实仍为实证轨道。——证书与性能的张力如实记录：证书⟹̸性能（C=4 有证书 12.75 / rand 零证书实证最优 / grid 证书最干净却外推性能严重退化 25.66），证书的价值在可审计的表示稳定性保证，独立于性能指标的决策依据（论文 A 结论张力声明同步）。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