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顶层模块，SHA-256 基 4901f18e，MERGE_EXIT=0，公理审计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战役族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零出现；公理脚印仅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安全域谓词（评审建议，future work）</w:t>
      </w:r>
      <w:r>
        <w:rPr>
          <w:rFonts w:ascii="Times New Roman" w:hAnsi="Times New Roman" w:eastAsia="宋体"/>
          <w:b w:val="0"/>
          <w:i w:val="0"/>
          <w:sz w:val="24"/>
        </w:rPr>
        <w:t>：当前"安全区"确认为实验性（扫描核算），未被形式化——未来工作在 Coq 中证明可验证的安全域谓词（输入在该谓词范围内 ⟹ 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相变存在性定理）的公理脚印含完整排中律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"结论限于 165 项审计范围，不覆盖合并版全部定理；应用层注意力证书/框架界/反射检查器定理链不受影响。审计分层口径：165 项输出块 = 54 项 Closed under the global context + 111 项 Dedekind 三公理脚印；构造性轨道（ca_rip_cr.v 33 定理、probe_uncertainty_cr.v 35 定理、probe_taugrid_cr.v 13 定理）各有独立 Print Assumptions 审计且全部 Closed，不在 165 项之内。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常数界**而非类型/内存安全证明。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