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正式版（2026-08-26，对齐母版 v2.5；对齐当前代码基态）。来源：论文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实验数据不变；配套论文 A（Coq 形式化）代码状态按 2026-08-23 基态（z 区 7 探针并入合并版、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合并编译 MERGE_EXIT=0）。投稿方向：TACL/Findings（实证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4 个独立实证支点（分协议：eval-only 3 + 真训练 1；方向性观察）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——带证书方案与无证书上限的差距被如实量化（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（经验观察，如实声明）。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如实标注。）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（如实边界）：配套形式化不主张解释本经验律——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全部零经典排中（「classical-free」精确指排中律宏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7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ca_merged_full_24.v</w:t>
      </w:r>
      <w:r>
        <w:rPr>
          <w:rFonts w:ascii="Times New Roman" w:hAnsi="Times New Roman" w:eastAsia="宋体"/>
          <w:b w:val="0"/>
          <w:i w:val="0"/>
          <w:sz w:val="24"/>
        </w:rPr>
        <w:t>（75702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40 模块，合并编译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张力（可发表点，如实呈现）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4.47）的差距须如实量化：**2.85×（C=4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**4 个独立实证支点（分协议计数：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s2026 formal-config 9-scheme replication (B1 chain, tinystories200 · 27000 iters,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(corpus-error, re-running)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4.17 / t5rel 4.45) clearly beat explicit-frequency (c2/c4/e5pp 15-22) and structured (grid/rope/c3 29-45)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s2026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and grid&lt;rope&lt;c3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rand_s2026 first run used a wrong corpus (1.8e8 chars vs tinystories200's 5.1e6, from a side chain) and is being re-run;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4 个独立实证支点（分协议：eval-only 3 + 真训练 1；方向性观察，候选解释）**及形式化碰撞结构支撑（碰撞 ⟺ 有理、无理偏移零碰撞、ALiBi 无碰撞端点、近碰撞半径 1/(3d)，论文 A §5.6.4）——「交易是周期参数化的属性，非周期偏置近零代价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但变量已被命名、仪器已就位、边界已被如实标出。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src\ca_merged_full_24.v（75702 行，40 模块，7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