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相位截断频率阶梯：可认证且外推稳健的位置编码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Certified, Extrapolation-Robust Positional Encoding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v2.0（2026-08-22）｜数据基线：2026-08-21 全量实证终态 + 2026-08-22 网格/τ 三剪判决（3 个种子确认 + E1 全部消融 + τ 机制 5 个正向判决）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——位置编码方案所采用的一组旋转角度（或加性特征）的多重集——为统一分析对象，研究长度外推问题。在受控的字符级基准（3 个随机种子）上，我们得到如下发现：（1）将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重缩放（11.54±1.18，p=0.018，d=−6.06）低 44%，而七带几何阶梯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的边带在所有外推长度与所有种子上严格改善性能——覆盖以</w:t>
      </w:r>
      <w:r>
        <w:rPr>
          <w:rFonts w:ascii="Times New Roman" w:hAnsi="Times New Roman" w:eastAsia="宋体"/>
          <w:b/>
          <w:i w:val="0"/>
          <w:sz w:val="24"/>
        </w:rPr>
        <w:t>梯度</w:t>
      </w:r>
      <w:r>
        <w:rPr>
          <w:rFonts w:ascii="Times New Roman" w:hAnsi="Times New Roman" w:eastAsia="宋体"/>
          <w:b w:val="0"/>
          <w:i w:val="0"/>
          <w:sz w:val="24"/>
        </w:rPr>
        <w:t>而非阈值方式起作用；（4）可认证的四带阶梯 [3,13,53,213] 携带机器检查的有理框架证书（μ=4/5，Coq 证明），七带几何阶梯内含可认证子核——复合证书（框架核 + 能量预算边际）已在 Coq 中完成顶层组装（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，会话 14 Qed，证明 $(S-\mathrm{coh}_{e5}) \le \|F\|^2 \le (S+\mathrm{coh}_{e5})$）；任意阶梯的认证由带机器检查健全性定理的反射检查器完成（165 项 Print Assumptions 审计，全部零经典排中）；（5）对照组结果：NTK-aware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 w:val="0"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 w:val="0"/>
          <w:i w:val="0"/>
          <w:sz w:val="24"/>
        </w:rPr>
        <w:t>：ALiBi 分布内仅比最优差 0.16（4.64 vs 4.48）、外推却平坦（退化比 0.96&lt;1，唯一下降者），非周期偏置以近零代价逃逸该交易。我们如实记录被证伪的假设（包括被反例杀死的 double-coverage 律与均匀填充假设），并提议将阶梯的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作为任意位置编码的诊断量。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：可认证阶梯（C=4）携带机器检查的有理框架证书；七带最优方案携带复合证书；任意阶梯由带健全性证明的反射检查器统一判定。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RTX 3070 8GB 训练温控（80°C 触发 / 70°C 恢复 / 0.5s 轮询 + 防死锁，详见附录 A）。一次只跑一件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无碰撞）张力分离实锤"——网格的证书免费性以外推崩溃为代价；offset-grid（无理偏移消碰撞）为唯一理论逃逸方向（已批准运行中）。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13.06）领先 21.6% &gt; 15% ⟹ 判据触发；对 3 个种子均值 C=4（12.75）领先 15.7%、对均值最优七带（12.40）领先 13.4%——降级裁决成立：psi-rope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2D 截断验证（已删除）</w:t>
      </w:r>
      <w:r>
        <w:rPr>
          <w:rFonts w:ascii="Times New Roman" w:hAnsi="Times New Roman" w:eastAsia="宋体"/>
          <w:b w:val="0"/>
          <w:i w:val="0"/>
          <w:sz w:val="24"/>
        </w:rPr>
        <w:t>：两轮实验（初版 vocab 16 纯 MLP：ppl≈1.4 天花板；难任务 vocab 64 + 噪声 + 自注意力：ppl 21–110 但 A/B 差值无方向且不随 T 单调，−5.7 至 +3.0）均</w:t>
      </w:r>
      <w:r>
        <w:rPr>
          <w:rFonts w:ascii="Times New Roman" w:hAnsi="Times New Roman" w:eastAsia="宋体"/>
          <w:b/>
          <w:i w:val="0"/>
          <w:sz w:val="24"/>
        </w:rPr>
        <w:t>无法判别</w:t>
      </w:r>
      <w:r>
        <w:rPr>
          <w:rFonts w:ascii="Times New Roman" w:hAnsi="Times New Roman" w:eastAsia="宋体"/>
          <w:b w:val="0"/>
          <w:i w:val="0"/>
          <w:sz w:val="24"/>
        </w:rPr>
        <w:t>"仅截断长轴 vs 双轴独立截断"。深层原因：训练若遵守相位完备律（带 ≤ T_train），外推 T &gt; T_train 时无带需截断（A/B 恒同）；训练若不遵守，模型学习忽略高频不完备带，截断与否无影响——该假说的可判别场景在经验侧难以构造。按评审 11 删除本验证，假说检验列为未来工作（真实图像 patch / 高维 M=S(max) 实证）。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——网格的证书免费性以外推崩溃为代价（对照论文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已批准并运行中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个种子；预登记三比较：≥ grid / vs rand 证书免费性 / vs ALiBi 差距）；其形式化辩护三半均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：O2 两点（剪 511 收益、剪 283 恶化）+ τ 三剪（剪 255/127/63 恶化）+ 网格（grid&lt;rand）= </w:t>
      </w:r>
      <w:r>
        <w:rPr>
          <w:rFonts w:ascii="Times New Roman" w:hAnsi="Times New Roman" w:eastAsia="宋体"/>
          <w:b/>
          <w:i w:val="0"/>
          <w:sz w:val="24"/>
        </w:rPr>
        <w:t>5 个正向判决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端到端复合证书已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Admitted（全部零经典排中）。定位：反射检查器是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70.9%）；E5'' 七带精确行和仅 0.135 ≤ 4/5（实质可认证，检查器误拒源于无窗口保守对界）。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1–2 个 PPL 点。本文提出可审计位置编码的性能-可证明性权衡（certifiability as a value）。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项全零经典排中（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0；仅继承 sig_not_dec + sig_forall_dec + fext）。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局限如实标注，5 种子复核（9 方案 × {2026,31415}）已预登记并排队执行。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机器证书为保留的主张；τ/碰撞距离机制统一解释排行榜（周期带承载碰撞负债、ALiBi 非周期无碰撞）——</w:t>
      </w:r>
      <w:r>
        <w:rPr>
          <w:rFonts w:ascii="Times New Roman" w:hAnsi="Times New Roman" w:eastAsia="宋体"/>
          <w:b/>
          <w:i w:val="0"/>
          <w:sz w:val="24"/>
        </w:rPr>
        <w:t>"交易是周期参数化的属性，非周期偏置近零代价逃逸"</w:t>
      </w:r>
      <w:r>
        <w:rPr>
          <w:rFonts w:ascii="Times New Roman" w:hAnsi="Times New Roman" w:eastAsia="宋体"/>
          <w:b w:val="0"/>
          <w:i w:val="0"/>
          <w:sz w:val="24"/>
        </w:rPr>
        <w:t xml:space="preserve">；该机制获 </w:t>
      </w:r>
      <w:r>
        <w:rPr>
          <w:rFonts w:ascii="Times New Roman" w:hAnsi="Times New Roman" w:eastAsia="宋体"/>
          <w:b/>
          <w:i w:val="0"/>
          <w:sz w:val="24"/>
        </w:rPr>
        <w:t>5 个正向判决</w:t>
      </w:r>
      <w:r>
        <w:rPr>
          <w:rFonts w:ascii="Times New Roman" w:hAnsi="Times New Roman" w:eastAsia="宋体"/>
          <w:b w:val="0"/>
          <w:i w:val="0"/>
          <w:sz w:val="24"/>
        </w:rPr>
        <w:t>（O2 两点 + τ 三剪回测剪 255/127/63 @8× 全恶化 +3.5–4.5× + 网格判决 grid 8× 25.66 比 rand 差 3.98×，§8.4，全部预登记确认）及形式化碰撞结构支撑（碰撞 ⟺ 有理、无理偏移零碰撞、ALiBi 无碰撞端点、近碰撞半径 1/(3d)，论文 A §5.6.4）。最强的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种子进行中（预登记三比较：vs grid / vs 随机 6.45 / vs ALiBi 4.47）。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