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正式版（2026-08-26，对齐母版 v2.6；对齐当前代码基态）。来源：论文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2026-08-26 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，87733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4 个独立实证支点（分协议：eval-only 3 + 真训练 1；方向性观察）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——带证书方案与无证书上限的差距被如实量化（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（经验观察，如实声明）。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如实标注。）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（如实边界）：配套形式化不主张解释本经验律——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全部零经典排中（「classical-free」精确指排中律宏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（87733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张力（可发表点，如实呈现）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4.47）的差距须如实量化：**2.85×（C=4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**4 个独立实证支点（分协议计数：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4 个独立实证支点（分协议：eval-only 3 + 真训练 1；方向性观察，候选解释）**及形式化碰撞结构支撑（碰撞 ⟺ 有理、无理偏移零碰撞、ALiBi 无碰撞端点、近碰撞半径 1/(3d)，论文 A §5.6.4）——「交易是周期参数化的属性，非周期偏置近零代价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但变量已被命名、仪器已就位、边界已被如实标出。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src\ca_merged_full_25.v（87733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