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v2.9）。来源：论文 A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全部代码数字按 2026-08-26 基态核验。投稿方向：CPP/ITP（形式化方法）。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代码基态：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（正式模块）+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z/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（探针）+ 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归档 </w:t>
      </w:r>
      <w:r>
        <w:rPr>
          <w:rFonts w:ascii="Consolas" w:hAnsi="Consolas" w:eastAsia="等线"/>
          <w:b w:val="0"/>
          <w:i w:val="0"/>
          <w:color w:val="444444"/>
          <w:sz w:val="19"/>
        </w:rPr>
        <w:t>30模块/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2(e^d − 1)）。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分数/softmax/PPL；与外推 PPL 改善之间的桥梁是经验观察，未经形式化。当反射检查器返回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87588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紧度说明（如实）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运行时保证的量化范围（如实）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，G-7 抽象前提）与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定位（如实）**：G-8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数学新颖性（如实）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路线在应用层外如实声明）；z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（87588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实数基础设施的非构造原则如实声明。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运行日志随稿）；合并版（87588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src/ca_merged_full_25.v（87588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