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（91606 行，67 模块分区，SHA-256 基 4901f18e，MERGE_EXIT=0，公理审计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representations), all machine-checked; on the C=4 ladder the instance μ = 11289/33920 &lt; 1/3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67 模块分区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>：单调性与组合性已定理化——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参数化合成界 relax m sb sq := m·(1/(sb·sq))（分子上界 / sin 下界 / √ 下界三层参数）逐层单调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（M1）、多层组合收紧（M2 relax_refine）、行和提升（M3 rowR_mono）与判定保持（M4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>：任一层收紧后检查器通过性不变——「只强化不破坏」）；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M5 证明反射层 pair_frac_R 恰为该参数化族实例，元理论覆盖现有检查器管线。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91606 行 / 67 模块分区（55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taugrid/taugrid_cr/cs/cs5（2026-08-29，合计 64 Qed，已并入合并版）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证明——精确有理算术层上检查器通过与否等价于 Gershgorin 行和阈值条件；假阴性全部来源于可判定松弛层的保守性，而非检查器逻辑的完备性缺口（[3,7,15]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；前提状态：G-7 的完整构造性证明为后续工作，本合成定理在 Welch 前提悬空下陈述逻辑蕴含）与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Welch 下界本身（G-7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；第 4 原子 213 未覆盖）；全窗口 [3,13,53,213] 四原子的稀疏唯一性扩展是直截但未完成的计算（必要的逐对相干界已在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</w:t>
      </w:r>
      <w:r>
        <w:rPr>
          <w:rFonts w:ascii="Times New Roman" w:hAnsi="Times New Roman" w:eastAsia="宋体"/>
          <w:b/>
          <w:i w:val="0"/>
          <w:sz w:val="24"/>
        </w:rPr>
        <w:t>已并入合并版</w:t>
      </w:r>
      <w:r>
        <w:rPr>
          <w:rFonts w:ascii="Times New Roman" w:hAnsi="Times New Roman" w:eastAsia="宋体"/>
          <w:b w:val="0"/>
          <w:i w:val="0"/>
          <w:sz w:val="24"/>
        </w:rPr>
        <w:t>（2026-08-30 M2 批次），probe_recovery_cr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（91606 行，67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87K-line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merge of 55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运行日志随稿）；合并版（91606 行，67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src/ca_merged_full_25.v（91606 行，67 模块分区，20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