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v2.9）。来源：论文 A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全部代码数字按 2026-08-26 基态核验。投稿方向：CPP/ITP（形式化方法）。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代码基态：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（正式模块）+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z/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（探针）+ 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归档 </w:t>
      </w:r>
      <w:r>
        <w:rPr>
          <w:rFonts w:ascii="Consolas" w:hAnsi="Consolas" w:eastAsia="等线"/>
          <w:b w:val="0"/>
          <w:i w:val="0"/>
          <w:color w:val="444444"/>
          <w:sz w:val="19"/>
        </w:rPr>
        <w:t>30模块/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审计纪律**：165 项 Print Assumptions 全审计、合并版 55 模块全量编译。以下贡献清单中的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2(e^d − 1)）。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分数/softmax/PPL；与外推 PPL 改善之间的桥梁是经验观察，未经形式化。当反射检查器返回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87733 行 / 55 模块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紧度说明（如实）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运行时保证的量化范围（如实）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>，代数数范数路线，零公理）。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，G-7 抽象前提）与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定位（如实）**：G-8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（55 模块，MERGE_EXIT=0）。定位：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数学新颖性（如实）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（55 模块，MERGE_EXIT=0），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Admitted；原始证据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>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路线在应用层外如实声明）；z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（87733 行，55 模块，含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实数基础设施的非构造原则如实声明。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零出现；合并版（87733 行，55 模块含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src/ca_merged_full_25.v（87733 行，55 模块，20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