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경기관광공사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경기관광공사</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사장 임기만료 후 9개월째 직무대행, 작년 지적 22건(소관기관 최다) 중 14건 미완료, 고양 이전 7년째 표류, 수원 영화동 관광지구 출자, 1월 도의원 부당압력 사건(직권남용 송치)이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경영 공백</w:t>
      </w:r>
    </w:p>
    <w:p>
      <w:pPr>
        <w:spacing w:after="20" w:before="0" w:line="324" w:lineRule="auto"/>
        <w:ind w:left="454"/>
      </w:pPr>
      <w:r>
        <w:rPr>
          <w:rFonts w:ascii="맑은 고딕" w:hAnsi="맑은 고딕" w:eastAsia="맑은 고딕"/>
          <w:b w:val="0"/>
          <w:sz w:val="21"/>
        </w:rPr>
        <w:t>사장 직무대행 체제가 9개월째입니다. 직무대행 기간 신규 출연사업 9개를 시작했는데, 중장기 경영 판단을 누가 책임집니까?</w:t>
      </w:r>
    </w:p>
    <w:p>
      <w:pPr>
        <w:spacing w:after="0" w:before="0" w:line="324" w:lineRule="auto"/>
        <w:ind w:left="454"/>
      </w:pPr>
      <w:r>
        <w:rPr>
          <w:rFonts w:ascii="맑은 고딕" w:hAnsi="맑은 고딕" w:eastAsia="맑은 고딕"/>
          <w:b w:val="0"/>
          <w:color w:val="6B7280"/>
          <w:sz w:val="19"/>
        </w:rPr>
        <w:t>· 관련 자료요구: 관광공사-1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부당압력 사건 대응</w:t>
      </w:r>
    </w:p>
    <w:p>
      <w:pPr>
        <w:spacing w:after="20" w:before="0" w:line="324" w:lineRule="auto"/>
        <w:ind w:left="454"/>
      </w:pPr>
      <w:r>
        <w:rPr>
          <w:rFonts w:ascii="맑은 고딕" w:hAnsi="맑은 고딕" w:eastAsia="맑은 고딕"/>
          <w:b w:val="0"/>
          <w:sz w:val="21"/>
        </w:rPr>
        <w:t>1월 공사에 부당한 압력을 행사한 혐의로 도의원이 검찰에 송치됐습니다. 공사는 당시 어떤 압력을 받았고, 외부 청탁·압력 신고와 재발방지 체계는 무엇입니까?</w:t>
      </w:r>
    </w:p>
    <w:p>
      <w:pPr>
        <w:spacing w:after="0" w:before="0" w:line="324" w:lineRule="auto"/>
        <w:ind w:left="454"/>
      </w:pPr>
      <w:r>
        <w:rPr>
          <w:rFonts w:ascii="맑은 고딕" w:hAnsi="맑은 고딕" w:eastAsia="맑은 고딕"/>
          <w:b w:val="0"/>
          <w:color w:val="6B7280"/>
          <w:sz w:val="19"/>
        </w:rPr>
        <w:t>· 배경: 경인일보 단독(1.27)</w:t>
      </w:r>
    </w:p>
    <w:p>
      <w:pPr>
        <w:spacing w:after="0" w:before="0" w:line="324" w:lineRule="auto"/>
        <w:ind w:left="454"/>
      </w:pPr>
      <w:r>
        <w:rPr>
          <w:rFonts w:ascii="맑은 고딕" w:hAnsi="맑은 고딕" w:eastAsia="맑은 고딕"/>
          <w:b w:val="0"/>
          <w:color w:val="6B7280"/>
          <w:sz w:val="19"/>
        </w:rPr>
        <w:t>· 관련 자료요구: 관광공사-2, 공통-6</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지적사항 이행</w:t>
      </w:r>
    </w:p>
    <w:p>
      <w:pPr>
        <w:spacing w:after="20" w:before="0" w:line="324" w:lineRule="auto"/>
        <w:ind w:left="454"/>
      </w:pPr>
      <w:r>
        <w:rPr>
          <w:rFonts w:ascii="맑은 고딕" w:hAnsi="맑은 고딕" w:eastAsia="맑은 고딕"/>
          <w:b w:val="0"/>
          <w:sz w:val="21"/>
        </w:rPr>
        <w:t>작년 지적 22건 중 14건이 추진 중입니다. 컬처패스 재설계, 수도권 통합 관광패스, 직영 캠핑장 확대의 진척은 어떻습니까?</w:t>
      </w:r>
    </w:p>
    <w:p>
      <w:pPr>
        <w:spacing w:after="0" w:before="0" w:line="324" w:lineRule="auto"/>
        <w:ind w:left="454"/>
      </w:pPr>
      <w:r>
        <w:rPr>
          <w:rFonts w:ascii="맑은 고딕" w:hAnsi="맑은 고딕" w:eastAsia="맑은 고딕"/>
          <w:b w:val="0"/>
          <w:color w:val="6B7280"/>
          <w:sz w:val="19"/>
        </w:rPr>
        <w:t>· 2025 지적: 처리-6(추진 중), 처리-20(추진 중), 처리-4(추진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영화동 관광지구 출자</w:t>
      </w:r>
    </w:p>
    <w:p>
      <w:pPr>
        <w:spacing w:after="20" w:before="0" w:line="324" w:lineRule="auto"/>
        <w:ind w:left="454"/>
      </w:pPr>
      <w:r>
        <w:rPr>
          <w:rFonts w:ascii="맑은 고딕" w:hAnsi="맑은 고딕" w:eastAsia="맑은 고딕"/>
          <w:b w:val="0"/>
          <w:sz w:val="21"/>
        </w:rPr>
        <w:t>영화동 관광지구에 대한 공사 출자 규모와 부채비율 영향, 리츠 운영 기간(~’39) 동안의 수익 배분 구조는 어떻게 됩니까?</w:t>
      </w:r>
    </w:p>
    <w:p>
      <w:pPr>
        <w:spacing w:after="0" w:before="0" w:line="324" w:lineRule="auto"/>
        <w:ind w:left="454"/>
      </w:pPr>
      <w:r>
        <w:rPr>
          <w:rFonts w:ascii="맑은 고딕" w:hAnsi="맑은 고딕" w:eastAsia="맑은 고딕"/>
          <w:b w:val="0"/>
          <w:color w:val="6B7280"/>
          <w:sz w:val="19"/>
        </w:rPr>
        <w:t>· 배경: 2025 처리-9(출자기관 수익) 추진 중</w:t>
      </w:r>
    </w:p>
    <w:p>
      <w:pPr>
        <w:spacing w:after="0" w:before="0" w:line="324" w:lineRule="auto"/>
        <w:ind w:left="454"/>
      </w:pPr>
      <w:r>
        <w:rPr>
          <w:rFonts w:ascii="맑은 고딕" w:hAnsi="맑은 고딕" w:eastAsia="맑은 고딕"/>
          <w:b w:val="0"/>
          <w:color w:val="6B7280"/>
          <w:sz w:val="19"/>
        </w:rPr>
        <w:t>· 2025 지적: 처리-9(추진 중)</w:t>
      </w:r>
    </w:p>
    <w:p>
      <w:pPr>
        <w:spacing w:after="0" w:before="0" w:line="324" w:lineRule="auto"/>
        <w:ind w:left="454"/>
      </w:pPr>
      <w:r>
        <w:rPr>
          <w:rFonts w:ascii="맑은 고딕" w:hAnsi="맑은 고딕" w:eastAsia="맑은 고딕"/>
          <w:b w:val="0"/>
          <w:color w:val="6B7280"/>
          <w:sz w:val="19"/>
        </w:rPr>
        <w:t>· 관련 자료요구: 관광공사-3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고양 이전</w:t>
      </w:r>
    </w:p>
    <w:p>
      <w:pPr>
        <w:spacing w:after="20" w:before="0" w:line="324" w:lineRule="auto"/>
        <w:ind w:left="454"/>
      </w:pPr>
      <w:r>
        <w:rPr>
          <w:rFonts w:ascii="맑은 고딕" w:hAnsi="맑은 고딕" w:eastAsia="맑은 고딕"/>
          <w:b w:val="0"/>
          <w:sz w:val="21"/>
        </w:rPr>
        <w:t>2029년 하반기 이전 계획의 청사 형태(임차·분양)는 결정됐습니까? 직원 이주 지원 대책은 무엇입니까?</w:t>
      </w:r>
    </w:p>
    <w:p>
      <w:pPr>
        <w:spacing w:after="0" w:before="0" w:line="324" w:lineRule="auto"/>
        <w:ind w:left="454"/>
      </w:pPr>
      <w:r>
        <w:rPr>
          <w:rFonts w:ascii="맑은 고딕" w:hAnsi="맑은 고딕" w:eastAsia="맑은 고딕"/>
          <w:b w:val="0"/>
          <w:color w:val="6B7280"/>
          <w:sz w:val="19"/>
        </w:rPr>
        <w:t>· 2025 지적: 처리-16(추진 중)</w:t>
      </w:r>
    </w:p>
    <w:p>
      <w:pPr>
        <w:spacing w:after="0" w:before="0" w:line="324" w:lineRule="auto"/>
        <w:ind w:left="454"/>
      </w:pPr>
      <w:r>
        <w:rPr>
          <w:rFonts w:ascii="맑은 고딕" w:hAnsi="맑은 고딕" w:eastAsia="맑은 고딕"/>
          <w:b w:val="0"/>
          <w:color w:val="6B7280"/>
          <w:sz w:val="19"/>
        </w:rPr>
        <w:t>· 관련 자료요구: 문화정책-4</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정부 ‘케이-투어 패스’와 경기 관광 연계</w:t>
      </w:r>
    </w:p>
    <w:p>
      <w:pPr>
        <w:spacing w:after="20" w:before="0" w:line="324" w:lineRule="auto"/>
        <w:ind w:left="454"/>
      </w:pPr>
      <w:r>
        <w:rPr>
          <w:rFonts w:ascii="맑은 고딕" w:hAnsi="맑은 고딕" w:eastAsia="맑은 고딕"/>
          <w:b w:val="0"/>
          <w:sz w:val="21"/>
        </w:rPr>
        <w:t>문체부가 외국인 관광객이 교통·관광지 할인을 한 번에 받는 ‘케이-투어 패스’를 내놓았습니다. 경기도 관광지와 교통수단이 이 패스에 얼마나 참여하고 있으며, 공사가 검토해 온 수도권 통합 관광패스와는 어떻게 연계하거나 정리할 계획입니까?</w:t>
      </w:r>
    </w:p>
    <w:p>
      <w:pPr>
        <w:spacing w:after="0" w:before="0" w:line="324" w:lineRule="auto"/>
        <w:ind w:left="454"/>
      </w:pPr>
      <w:r>
        <w:rPr>
          <w:rFonts w:ascii="맑은 고딕" w:hAnsi="맑은 고딕" w:eastAsia="맑은 고딕"/>
          <w:b w:val="0"/>
          <w:color w:val="6B7280"/>
          <w:sz w:val="19"/>
        </w:rPr>
        <w:t>· 배경: 문체부 보도자료 2026.10.1 ‘외국인 관광객, 케이-투어 패스로 교통·관광지 이용 할인 한 번에’</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지역 특화 관광상품의 지속 운영 계획</w:t>
      </w:r>
    </w:p>
    <w:p>
      <w:pPr>
        <w:spacing w:after="20" w:before="0" w:line="324" w:lineRule="auto"/>
        <w:ind w:left="454"/>
      </w:pPr>
      <w:r>
        <w:rPr>
          <w:rFonts w:ascii="맑은 고딕" w:hAnsi="맑은 고딕" w:eastAsia="맑은 고딕"/>
          <w:b w:val="0"/>
          <w:sz w:val="21"/>
        </w:rPr>
        <w:t>제부도·전곡항을 묶은 '화성 지오로드' 특화 상품 홍보는 지역 자원을 관광상품으로 연결한 좋은 시도입니다. 다만 홍보 이후 실제 송출 실적과 재방문으로 이어졌는지가 중요합니다. 상품별 판매·이용 실적과 지역 사업체 참여·수익 배분 현황, 내년 지속 운영 계획을 밝혀 주십시오.</w:t>
      </w:r>
    </w:p>
    <w:p>
      <w:pPr>
        <w:spacing w:after="0" w:before="0" w:line="324" w:lineRule="auto"/>
        <w:ind w:left="454"/>
      </w:pPr>
      <w:r>
        <w:rPr>
          <w:rFonts w:ascii="맑은 고딕" w:hAnsi="맑은 고딕" w:eastAsia="맑은 고딕"/>
          <w:b w:val="0"/>
          <w:color w:val="6B7280"/>
          <w:sz w:val="19"/>
        </w:rPr>
        <w:t>· 배경: 2026.10.15 보도 — 경기관광공사 '화성 지오로드' 특화 관광상품 홍보</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[관광공사-1] ∘ 사장 공모 및 직무대행 기간 주요 결정 현황</w:t>
      </w:r>
    </w:p>
    <w:p>
      <w:pPr>
        <w:spacing w:after="0" w:before="0" w:line="324" w:lineRule="auto"/>
        <w:ind w:left="510"/>
      </w:pPr>
      <w:r>
        <w:rPr>
          <w:rFonts w:ascii="맑은 고딕" w:hAnsi="맑은 고딕" w:eastAsia="맑은 고딕"/>
          <w:b w:val="0"/>
          <w:sz w:val="20"/>
        </w:rPr>
        <w:t>- 임원추천위원회 일정·지연 사유</w:t>
      </w:r>
    </w:p>
    <w:p>
      <w:pPr>
        <w:spacing w:after="0" w:before="0" w:line="324" w:lineRule="auto"/>
        <w:ind w:left="510"/>
      </w:pPr>
      <w:r>
        <w:rPr>
          <w:rFonts w:ascii="맑은 고딕" w:hAnsi="맑은 고딕" w:eastAsia="맑은 고딕"/>
          <w:b w:val="0"/>
          <w:sz w:val="20"/>
        </w:rPr>
        <w:t>- 직무대행 기간 이사회 안건·신규사업·주요 계약</w:t>
      </w:r>
    </w:p>
    <w:p>
      <w:pPr>
        <w:spacing w:after="40" w:before="0" w:line="324" w:lineRule="auto"/>
      </w:pPr>
    </w:p>
    <w:p>
      <w:pPr>
        <w:spacing w:after="0" w:before="0" w:line="324" w:lineRule="auto"/>
        <w:ind w:left="113"/>
      </w:pPr>
      <w:r>
        <w:rPr>
          <w:rFonts w:ascii="맑은 고딕" w:hAnsi="맑은 고딕" w:eastAsia="맑은 고딕"/>
          <w:b/>
          <w:sz w:val="21"/>
        </w:rPr>
        <w:t>[관광공사-2] ∘ 외부 청탁·압력 관련 현황(2025~2026)</w:t>
      </w:r>
    </w:p>
    <w:p>
      <w:pPr>
        <w:spacing w:after="0" w:before="0" w:line="324" w:lineRule="auto"/>
        <w:ind w:left="510"/>
      </w:pPr>
      <w:r>
        <w:rPr>
          <w:rFonts w:ascii="맑은 고딕" w:hAnsi="맑은 고딕" w:eastAsia="맑은 고딕"/>
          <w:b w:val="0"/>
          <w:sz w:val="20"/>
        </w:rPr>
        <w:t>- 부당압력 사건 경위, 공사 대응·신고 내역</w:t>
      </w:r>
    </w:p>
    <w:p>
      <w:pPr>
        <w:spacing w:after="0" w:before="0" w:line="324" w:lineRule="auto"/>
        <w:ind w:left="510"/>
      </w:pPr>
      <w:r>
        <w:rPr>
          <w:rFonts w:ascii="맑은 고딕" w:hAnsi="맑은 고딕" w:eastAsia="맑은 고딕"/>
          <w:b w:val="0"/>
          <w:sz w:val="20"/>
        </w:rPr>
        <w:t>- 청탁금지법 신고·처리 현황, 재발방지 조치</w:t>
      </w:r>
    </w:p>
    <w:p>
      <w:pPr>
        <w:spacing w:after="40" w:before="0" w:line="324" w:lineRule="auto"/>
      </w:pPr>
    </w:p>
    <w:p>
      <w:pPr>
        <w:spacing w:after="0" w:before="0" w:line="324" w:lineRule="auto"/>
        <w:ind w:left="113"/>
      </w:pPr>
      <w:r>
        <w:rPr>
          <w:rFonts w:ascii="맑은 고딕" w:hAnsi="맑은 고딕" w:eastAsia="맑은 고딕"/>
          <w:b/>
          <w:sz w:val="21"/>
        </w:rPr>
        <w:t>[관광공사-3] ∘ 수원 영화동 문화·관광지구 출자 관련</w:t>
      </w:r>
    </w:p>
    <w:p>
      <w:pPr>
        <w:spacing w:after="0" w:before="0" w:line="324" w:lineRule="auto"/>
        <w:ind w:left="510"/>
      </w:pPr>
      <w:r>
        <w:rPr>
          <w:rFonts w:ascii="맑은 고딕" w:hAnsi="맑은 고딕" w:eastAsia="맑은 고딕"/>
          <w:b w:val="0"/>
          <w:sz w:val="20"/>
        </w:rPr>
        <w:t>- 출자 타당성 검토 보고서, 출자 규모·재원</w:t>
      </w:r>
    </w:p>
    <w:p>
      <w:pPr>
        <w:spacing w:after="0" w:before="0" w:line="324" w:lineRule="auto"/>
        <w:ind w:left="510"/>
      </w:pPr>
      <w:r>
        <w:rPr>
          <w:rFonts w:ascii="맑은 고딕" w:hAnsi="맑은 고딕" w:eastAsia="맑은 고딕"/>
          <w:b w:val="0"/>
          <w:sz w:val="20"/>
        </w:rPr>
        <w:t>- 부채비율 영향 분석, 리츠 구조·수익 배분</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