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24" w:lineRule="auto"/>
        <w:jc w:val="center"/>
      </w:pPr>
      <w:r>
        <w:rPr>
          <w:rFonts w:ascii="맑은 고딕" w:hAnsi="맑은 고딕" w:eastAsia="맑은 고딕"/>
          <w:b/>
          <w:color w:val="185FA5"/>
          <w:sz w:val="24"/>
        </w:rPr>
        <w:t>경기도의회 문화체육관광위원회</w:t>
      </w:r>
    </w:p>
    <w:p>
      <w:pPr>
        <w:spacing w:after="120" w:before="0" w:line="324" w:lineRule="auto"/>
        <w:jc w:val="center"/>
      </w:pPr>
      <w:r>
        <w:rPr>
          <w:rFonts w:ascii="맑은 고딕" w:hAnsi="맑은 고딕" w:eastAsia="맑은 고딕"/>
          <w:b/>
          <w:color w:val="0B3A63"/>
          <w:sz w:val="40"/>
        </w:rPr>
        <w:t>경기도수원월드컵경기장관리재단 질의서(안)</w:t>
      </w:r>
    </w:p>
    <w:p>
      <w:pPr>
        <w:spacing w:after="320" w:before="0" w:line="324" w:lineRule="auto"/>
        <w:jc w:val="center"/>
      </w:pPr>
      <w:r>
        <w:rPr>
          <w:rFonts w:ascii="맑은 고딕" w:hAnsi="맑은 고딕" w:eastAsia="맑은 고딕"/>
          <w:b w:val="0"/>
          <w:color w:val="6B7280"/>
          <w:sz w:val="20"/>
        </w:rPr>
        <w:t>2026년 행정사무감사 · 작성 2026. 10. 19.</w:t>
      </w:r>
    </w:p>
    <w:p>
      <w:pPr>
        <w:spacing w:after="80" w:before="200" w:line="324" w:lineRule="auto"/>
      </w:pPr>
      <w:r>
        <w:rPr>
          <w:rFonts w:ascii="맑은 고딕" w:hAnsi="맑은 고딕" w:eastAsia="맑은 고딕"/>
          <w:b/>
          <w:color w:val="0B3A63"/>
          <w:sz w:val="30"/>
        </w:rPr>
        <w:t>경기도수원월드컵경기장관리재단</w:t>
      </w:r>
    </w:p>
    <w:p>
      <w:pPr>
        <w:spacing w:after="40" w:before="0" w:line="324" w:lineRule="auto"/>
      </w:pPr>
      <w:r>
        <w:rPr>
          <w:rFonts w:ascii="맑은 고딕" w:hAnsi="맑은 고딕" w:eastAsia="맑은 고딕"/>
          <w:b/>
          <w:color w:val="185FA5"/>
          <w:sz w:val="23"/>
        </w:rPr>
        <w:t>□ 쟁점 요약</w:t>
      </w:r>
    </w:p>
    <w:p>
      <w:pPr>
        <w:spacing w:after="120" w:before="0" w:line="324" w:lineRule="auto"/>
        <w:ind w:left="227"/>
      </w:pPr>
      <w:r>
        <w:rPr>
          <w:rFonts w:ascii="맑은 고딕" w:hAnsi="맑은 고딕" w:eastAsia="맑은 고딕"/>
          <w:b w:val="0"/>
          <w:sz w:val="21"/>
        </w:rPr>
        <w:t>업무추진비를 8년간 반복 부적정 집행해 6월 도 감사에서 ‘기관경고’를 받았고, 예식장 임대 입찰 공정성 논란(가처분 기각)과 작년 위·수탁 계약 공정성 시정요구(추진 중)가 연결된다. 우만테크노밸리(2.7조) 개발과 대체주차장, 경영평가 ‘마’등급·5년 연속 적자도 쟁점이다.</w:t>
      </w:r>
    </w:p>
    <w:p>
      <w:pPr>
        <w:spacing w:after="40" w:before="0" w:line="324" w:lineRule="auto"/>
      </w:pPr>
      <w:r>
        <w:rPr>
          <w:rFonts w:ascii="맑은 고딕" w:hAnsi="맑은 고딕" w:eastAsia="맑은 고딕"/>
          <w:b/>
          <w:color w:val="185FA5"/>
          <w:sz w:val="23"/>
        </w:rPr>
        <w:t>□ 질의</w:t>
      </w:r>
    </w:p>
    <w:p>
      <w:pPr>
        <w:spacing w:after="20" w:before="0" w:line="324" w:lineRule="auto"/>
        <w:ind w:left="113"/>
      </w:pPr>
      <w:r>
        <w:rPr>
          <w:rFonts w:ascii="맑은 고딕" w:hAnsi="맑은 고딕" w:eastAsia="맑은 고딕"/>
          <w:b/>
          <w:color w:val="B91C1C"/>
          <w:sz w:val="21"/>
        </w:rPr>
        <w:t xml:space="preserve">1. 【중점】 </w:t>
      </w:r>
      <w:r>
        <w:rPr>
          <w:rFonts w:ascii="맑은 고딕" w:hAnsi="맑은 고딕" w:eastAsia="맑은 고딕"/>
          <w:b/>
          <w:sz w:val="21"/>
        </w:rPr>
        <w:t>업추비 기관경고</w:t>
      </w:r>
    </w:p>
    <w:p>
      <w:pPr>
        <w:spacing w:after="20" w:before="0" w:line="324" w:lineRule="auto"/>
        <w:ind w:left="454"/>
      </w:pPr>
      <w:r>
        <w:rPr>
          <w:rFonts w:ascii="맑은 고딕" w:hAnsi="맑은 고딕" w:eastAsia="맑은 고딕"/>
          <w:b w:val="0"/>
          <w:sz w:val="21"/>
        </w:rPr>
        <w:t>업무추진비를 8년간 반복 위반해 기관경고를 받았습니다. 위반 유형과 금액, 환수·징계 결과는 무엇이고, 수차례 지적에도 고쳐지지 않은 이유는 무엇입니까?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배경: 6.25 보도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관련 자료요구: 월드컵재단-1, 공통-7</w:t>
      </w:r>
    </w:p>
    <w:p>
      <w:pPr>
        <w:spacing w:after="60" w:before="0" w:line="324" w:lineRule="auto"/>
      </w:pPr>
    </w:p>
    <w:p>
      <w:pPr>
        <w:spacing w:after="20" w:before="0" w:line="324" w:lineRule="auto"/>
        <w:ind w:left="113"/>
      </w:pPr>
      <w:r>
        <w:rPr>
          <w:rFonts w:ascii="맑은 고딕" w:hAnsi="맑은 고딕" w:eastAsia="맑은 고딕"/>
          <w:b/>
          <w:color w:val="B91C1C"/>
          <w:sz w:val="21"/>
        </w:rPr>
        <w:t xml:space="preserve">2. 【중점】 </w:t>
      </w:r>
      <w:r>
        <w:rPr>
          <w:rFonts w:ascii="맑은 고딕" w:hAnsi="맑은 고딕" w:eastAsia="맑은 고딕"/>
          <w:b/>
          <w:sz w:val="21"/>
        </w:rPr>
        <w:t>임대·위수탁 계약 공정성</w:t>
      </w:r>
    </w:p>
    <w:p>
      <w:pPr>
        <w:spacing w:after="20" w:before="0" w:line="324" w:lineRule="auto"/>
        <w:ind w:left="454"/>
      </w:pPr>
      <w:r>
        <w:rPr>
          <w:rFonts w:ascii="맑은 고딕" w:hAnsi="맑은 고딕" w:eastAsia="맑은 고딕"/>
          <w:b w:val="0"/>
          <w:sz w:val="21"/>
        </w:rPr>
        <w:t>예식장 임대 입찰 논란과 작년 위·수탁 계약 공정성 시정요구에 대해, 재계약 기준과 임대료 산정 근거(감정평가)를 제시해 주십시오.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배경: 2025 시정-1 추진 중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2025 지적: 시정-1(추진 중)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관련 자료요구: 공통-9</w:t>
      </w:r>
    </w:p>
    <w:p>
      <w:pPr>
        <w:spacing w:after="60" w:before="0" w:line="324" w:lineRule="auto"/>
      </w:pPr>
    </w:p>
    <w:p>
      <w:pPr>
        <w:spacing w:after="20" w:before="0" w:line="324" w:lineRule="auto"/>
        <w:ind w:left="113"/>
      </w:pPr>
      <w:r>
        <w:rPr>
          <w:rFonts w:ascii="맑은 고딕" w:hAnsi="맑은 고딕" w:eastAsia="맑은 고딕"/>
          <w:b/>
          <w:color w:val="B91C1C"/>
          <w:sz w:val="21"/>
        </w:rPr>
        <w:t xml:space="preserve">3. 【중점】 </w:t>
      </w:r>
      <w:r>
        <w:rPr>
          <w:rFonts w:ascii="맑은 고딕" w:hAnsi="맑은 고딕" w:eastAsia="맑은 고딕"/>
          <w:b/>
          <w:sz w:val="21"/>
        </w:rPr>
        <w:t>우만테크노밸리</w:t>
      </w:r>
    </w:p>
    <w:p>
      <w:pPr>
        <w:spacing w:after="20" w:before="0" w:line="324" w:lineRule="auto"/>
        <w:ind w:left="454"/>
      </w:pPr>
      <w:r>
        <w:rPr>
          <w:rFonts w:ascii="맑은 고딕" w:hAnsi="맑은 고딕" w:eastAsia="맑은 고딕"/>
          <w:b w:val="0"/>
          <w:sz w:val="21"/>
        </w:rPr>
        <w:t>경기장 주차부지 79,585㎡ 개발에서 재단의 지분·수익 배분은 어떻게 되고, 사라지는 주차 1,200면의 대체주차장 건립비는 누가 부담합니까?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관련 자료요구: 월드컵재단-2</w:t>
      </w:r>
    </w:p>
    <w:p>
      <w:pPr>
        <w:spacing w:after="60" w:before="0" w:line="324" w:lineRule="auto"/>
      </w:pPr>
    </w:p>
    <w:p>
      <w:pPr>
        <w:spacing w:after="2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 xml:space="preserve">4. </w:t>
      </w:r>
      <w:r>
        <w:rPr>
          <w:rFonts w:ascii="맑은 고딕" w:hAnsi="맑은 고딕" w:eastAsia="맑은 고딕"/>
          <w:b/>
          <w:sz w:val="21"/>
        </w:rPr>
        <w:t>경영평가·적자</w:t>
      </w:r>
    </w:p>
    <w:p>
      <w:pPr>
        <w:spacing w:after="20" w:before="0" w:line="324" w:lineRule="auto"/>
        <w:ind w:left="454"/>
      </w:pPr>
      <w:r>
        <w:rPr>
          <w:rFonts w:ascii="맑은 고딕" w:hAnsi="맑은 고딕" w:eastAsia="맑은 고딕"/>
          <w:b w:val="0"/>
          <w:sz w:val="21"/>
        </w:rPr>
        <w:t>작년 경영평가 ‘마’등급, 5년 연속 적자에 대한 자구책의 이행 실적은 무엇입니까?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배경: 2025 처리-3 추진 중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2025 지적: 처리-3(추진 중), 처리-1(추진 중)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관련 자료요구: 공통-16</w:t>
      </w:r>
    </w:p>
    <w:p>
      <w:pPr>
        <w:spacing w:after="60" w:before="0" w:line="324" w:lineRule="auto"/>
      </w:pPr>
    </w:p>
    <w:p>
      <w:pPr>
        <w:spacing w:after="40" w:before="0" w:line="324" w:lineRule="auto"/>
      </w:pPr>
      <w:r>
        <w:rPr>
          <w:rFonts w:ascii="맑은 고딕" w:hAnsi="맑은 고딕" w:eastAsia="맑은 고딕"/>
          <w:b/>
          <w:color w:val="185FA5"/>
          <w:sz w:val="23"/>
        </w:rPr>
        <w:t>□ 자료요구</w:t>
      </w:r>
    </w:p>
    <w:p>
      <w:pPr>
        <w:spacing w:after="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>[월드컵재단-1] ∘ 업무추진비 기관경고 관련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도 감사 결과서, 위반 내역(연도·유형·금액), 환수·징계 결과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재발방지 대책</w:t>
      </w:r>
    </w:p>
    <w:p>
      <w:pPr>
        <w:spacing w:after="40" w:before="0" w:line="324" w:lineRule="auto"/>
      </w:pPr>
    </w:p>
    <w:p>
      <w:pPr>
        <w:spacing w:after="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>[월드컵재단-2] ∘ 우만테크노밸리 추진 현황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- 5자 협약서, 마스터플랜 용역 과업, 재단 지분·수익 구조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대체주차장 계획·비용 분담</w:t>
      </w:r>
    </w:p>
    <w:p>
      <w:pPr>
        <w:spacing w:after="40" w:before="0" w:line="324" w:lineRule="auto"/>
      </w:pP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