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경기콘텐츠진흥원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경기콘텐츠진흥원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미래산업본부 직원 30명의 인건비가 8개월분만 편성돼 9월부터 임금체불 위기다(노조 기자회견, 도 “증액 동의 어렵다”). 게임 업무가 미래성장산업국 보조로 나뉜 구조도 쟁점이다. 작년 지적 14건 중 13건 완료로 이행률은 높다.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임금체불 위기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미래산업본부 직원 30명의 인건비가 4개월분 빠진 상태입니다. 현재 체불 여부와 연말까지 지급 대책은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미래과학협력위 증액 의결, 예결위 결과 확인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콘진원-1, 공통-4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2. 【중점】 </w:t>
      </w:r>
      <w:r>
        <w:rPr>
          <w:rFonts w:ascii="맑은 고딕" w:hAnsi="맑은 고딕" w:eastAsia="맑은 고딕"/>
          <w:b/>
          <w:sz w:val="21"/>
        </w:rPr>
        <w:t>인건비 과소편성 책임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본예산 요구 단계에서 콘진원은 12개월분을 요구했습니까? 누구의 판단으로 8개월분만 편성됐습니까?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콘진원-1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게임 업무 이원화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게임·e스포츠·XR 사업은 미래성장산업국 보조금(76.6억)으로 운영되는데, 두 국의 사업 관리와 성과평가는 어떻게 조정됩니까?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콘진원-2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대중소 상생사업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지적한 대중소 상생 협력 사업의 중소기업 보호 장치는 어떻게 개선됐습니까?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처리-7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처리-7(추진 중)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해외 불법유통 대응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국회 문화체육관광위원회에서 해외 불법 유통 K-콘텐츠가 1년 새 8천만 건 늘어 4억 9천만 건에 달한다는 지적이 나왔습니다. 경콘진이 지원하는 도내 창작자·기업의 해외 불법유통 피해 현황과 저작권 보호·구제 지원 실적은 어떻습니까?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임오경 의원(국회 문체위) 발표, 2026.9.22 보도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콘진원-3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6. </w:t>
      </w:r>
      <w:r>
        <w:rPr>
          <w:rFonts w:ascii="맑은 고딕" w:hAnsi="맑은 고딕" w:eastAsia="맑은 고딕"/>
          <w:b/>
          <w:sz w:val="21"/>
        </w:rPr>
        <w:t>저작권 지원 확대 성과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경콘진이 스타트업·창작자 대상 저작권·IP 실무 지원을 확대해 4개월간 50여 명이 참여했습니다. 구체적 지원 성과(계약·분쟁 해결 등)는 무엇이며, 내년도 지원 대상·예산을 확대할 계획입니까?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2026.9.22~23 보도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7. </w:t>
      </w:r>
      <w:r>
        <w:rPr>
          <w:rFonts w:ascii="맑은 고딕" w:hAnsi="맑은 고딕" w:eastAsia="맑은 고딕"/>
          <w:b/>
          <w:sz w:val="21"/>
        </w:rPr>
        <w:t>게임 제작비 세액공제 사각지대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영화·방송·웹툰은 제작비 세액공제를 받지만 게임은 현행 조세특례제한법상 별도 제작비 공제 대상이 아니며, 정부가 근거로 제시하는 R&amp;D 세액공제는 실제 이용 기업이 2.1%에 불과하다는 지적이 나왔습니다. 경콘진이 지원하는 도내 게임업체 중 이 세제 사각지대의 영향을 파악하고 있습니까? 경기게임아카데미 등 도 차원 지원사업으로 어느 정도 보완되고 있으며, 정부에 제도 개선을 건의할 계획이 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쿠키뉴스 2026.9.28, 한국게임산업협회·조승래 의원실 자료.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8. </w:t>
      </w:r>
      <w:r>
        <w:rPr>
          <w:rFonts w:ascii="맑은 고딕" w:hAnsi="맑은 고딕" w:eastAsia="맑은 고딕"/>
          <w:b/>
          <w:sz w:val="21"/>
        </w:rPr>
        <w:t>게임산업법 개정 — 도내 게임사 이용자 보호 의무 대응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10월 1일 국회를 통과한 게임산업법 개정안은 해외 게임사 국내대리인 책임을 강화하는 동시에 국내 게임사에도 이용자 피해 보호·불만 처리 의무를 새로 지웁니다. 진흥원이 지원하는 도내 중소·인디 게임사가 이 의무를 이행할 수 있도록 안내·법률 컨설팅 계획이 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디일렉·아이뉴스24 2026.10.1 게임산업법 개정안 본회의 통과 보도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[콘진원-1] ∘ 2026년 인건비 요구·편성·집행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본부별 인원·인건비, 요구액 대비 편성액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예산 요구서, 도 조정 내역, 추경 요구 공문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[콘진원-2] ∘ 소관 국별 사업·예산 현황(문체국/미래성장산업국)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사업별 예산·성과지표, 보고 체계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[콘진원-3] ∘ 도내 창작자·기업 해외 콘텐츠 불법유통 대응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최근 3년 해외 불법유통 모니터링·신고 건수(연도별)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저작권 침해 법률자문·소송 지원 등 구제 실적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