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24" w:lineRule="auto"/>
        <w:jc w:val="center"/>
      </w:pPr>
      <w:r>
        <w:rPr>
          <w:rFonts w:ascii="맑은 고딕" w:hAnsi="맑은 고딕" w:eastAsia="맑은 고딕"/>
          <w:b/>
          <w:color w:val="185FA5"/>
          <w:sz w:val="24"/>
        </w:rPr>
        <w:t>경기도의회 문화체육관광위원회</w:t>
      </w:r>
    </w:p>
    <w:p>
      <w:pPr>
        <w:spacing w:after="120" w:before="0" w:line="324" w:lineRule="auto"/>
        <w:jc w:val="center"/>
      </w:pPr>
      <w:r>
        <w:rPr>
          <w:rFonts w:ascii="맑은 고딕" w:hAnsi="맑은 고딕" w:eastAsia="맑은 고딕"/>
          <w:b/>
          <w:color w:val="0B3A63"/>
          <w:sz w:val="40"/>
        </w:rPr>
        <w:t>문화정책과 질의서(안)</w:t>
      </w:r>
    </w:p>
    <w:p>
      <w:pPr>
        <w:spacing w:after="320" w:before="0" w:line="324" w:lineRule="auto"/>
        <w:jc w:val="center"/>
      </w:pPr>
      <w:r>
        <w:rPr>
          <w:rFonts w:ascii="맑은 고딕" w:hAnsi="맑은 고딕" w:eastAsia="맑은 고딕"/>
          <w:b w:val="0"/>
          <w:color w:val="6B7280"/>
          <w:sz w:val="20"/>
        </w:rPr>
        <w:t>2026년 행정사무감사 · 작성 2026. 10. 19.</w:t>
      </w:r>
    </w:p>
    <w:p>
      <w:pPr>
        <w:spacing w:after="80" w:before="200" w:line="324" w:lineRule="auto"/>
      </w:pPr>
      <w:r>
        <w:rPr>
          <w:rFonts w:ascii="맑은 고딕" w:hAnsi="맑은 고딕" w:eastAsia="맑은 고딕"/>
          <w:b/>
          <w:color w:val="0B3A63"/>
          <w:sz w:val="30"/>
        </w:rPr>
        <w:t>문화정책과</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컬처패스는 성과에도 3년 연속 추경 감액(30%), 평택박물관 도비는 60억 중 55억이 감액됐다. 문화재단·관광공사 고양 이전은 7년째 표류 중이고, 문화재단은 도 출연금이 절반 이하로 줄어 기본재산을 헐어 쓰고 있다.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컬처패스 반복 감액</w:t>
      </w:r>
    </w:p>
    <w:p>
      <w:pPr>
        <w:spacing w:after="20" w:before="0" w:line="324" w:lineRule="auto"/>
        <w:ind w:left="454"/>
      </w:pPr>
      <w:r>
        <w:rPr>
          <w:rFonts w:ascii="맑은 고딕" w:hAnsi="맑은 고딕" w:eastAsia="맑은 고딕"/>
          <w:b w:val="0"/>
          <w:sz w:val="21"/>
        </w:rPr>
        <w:t>경기컬처패스는 회원 70만 명, 앱 인기 1위 등 성과를 냈는데도 3년 연속 추경에서 감액됐습니다. 본예산을 과다 편성하고 추경에서 깎는 구조가 아닌지, 연도별 편성·감액·집행 내역으로 설명해 주십시오.</w:t>
      </w:r>
    </w:p>
    <w:p>
      <w:pPr>
        <w:spacing w:after="0" w:before="0" w:line="324" w:lineRule="auto"/>
        <w:ind w:left="454"/>
      </w:pPr>
      <w:r>
        <w:rPr>
          <w:rFonts w:ascii="맑은 고딕" w:hAnsi="맑은 고딕" w:eastAsia="맑은 고딕"/>
          <w:b w:val="0"/>
          <w:color w:val="6B7280"/>
          <w:sz w:val="19"/>
        </w:rPr>
        <w:t>· 배경: 황은화 의원 “감액용 예산” 지적, 2025 처리-46(전면 재설계) 추진 중</w:t>
      </w:r>
    </w:p>
    <w:p>
      <w:pPr>
        <w:spacing w:after="0" w:before="0" w:line="324" w:lineRule="auto"/>
        <w:ind w:left="454"/>
      </w:pPr>
      <w:r>
        <w:rPr>
          <w:rFonts w:ascii="맑은 고딕" w:hAnsi="맑은 고딕" w:eastAsia="맑은 고딕"/>
          <w:b w:val="0"/>
          <w:color w:val="6B7280"/>
          <w:sz w:val="19"/>
        </w:rPr>
        <w:t>· 2025 지적: 처리-46()</w:t>
      </w:r>
    </w:p>
    <w:p>
      <w:pPr>
        <w:spacing w:after="0" w:before="0" w:line="324" w:lineRule="auto"/>
        <w:ind w:left="454"/>
      </w:pPr>
      <w:r>
        <w:rPr>
          <w:rFonts w:ascii="맑은 고딕" w:hAnsi="맑은 고딕" w:eastAsia="맑은 고딕"/>
          <w:b w:val="0"/>
          <w:color w:val="6B7280"/>
          <w:sz w:val="19"/>
        </w:rPr>
        <w:t>· 관련 자료요구: 문화정책-1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평택박물관 도비 약정</w:t>
      </w:r>
    </w:p>
    <w:p>
      <w:pPr>
        <w:spacing w:after="20" w:before="0" w:line="324" w:lineRule="auto"/>
        <w:ind w:left="454"/>
      </w:pPr>
      <w:r>
        <w:rPr>
          <w:rFonts w:ascii="맑은 고딕" w:hAnsi="맑은 고딕" w:eastAsia="맑은 고딕"/>
          <w:b w:val="0"/>
          <w:sz w:val="21"/>
        </w:rPr>
        <w:t>평택박물관 도비 60억 중 55억을 감액했는데, 총 149.6억 도비 약정은 어떻게 이행합니까? 연차별 교부계획을 문서로 제시해 주십시오.</w:t>
      </w:r>
    </w:p>
    <w:p>
      <w:pPr>
        <w:spacing w:after="0" w:before="0" w:line="324" w:lineRule="auto"/>
        <w:ind w:left="454"/>
      </w:pPr>
      <w:r>
        <w:rPr>
          <w:rFonts w:ascii="맑은 고딕" w:hAnsi="맑은 고딕" w:eastAsia="맑은 고딕"/>
          <w:b w:val="0"/>
          <w:color w:val="6B7280"/>
          <w:sz w:val="19"/>
        </w:rPr>
        <w:t>· 배경: 국장 “약속한 도비 지원 차질 없게” 답변</w:t>
      </w:r>
    </w:p>
    <w:p>
      <w:pPr>
        <w:spacing w:after="0" w:before="0" w:line="324" w:lineRule="auto"/>
        <w:ind w:left="454"/>
      </w:pPr>
      <w:r>
        <w:rPr>
          <w:rFonts w:ascii="맑은 고딕" w:hAnsi="맑은 고딕" w:eastAsia="맑은 고딕"/>
          <w:b w:val="0"/>
          <w:color w:val="6B7280"/>
          <w:sz w:val="19"/>
        </w:rPr>
        <w:t>· 관련 자료요구: 문화정책-2</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3. 【중점】 </w:t>
      </w:r>
      <w:r>
        <w:rPr>
          <w:rFonts w:ascii="맑은 고딕" w:hAnsi="맑은 고딕" w:eastAsia="맑은 고딕"/>
          <w:b/>
          <w:sz w:val="21"/>
        </w:rPr>
        <w:t>문화재단 출연금 급감과 기본재산 잠식</w:t>
      </w:r>
    </w:p>
    <w:p>
      <w:pPr>
        <w:spacing w:after="20" w:before="0" w:line="324" w:lineRule="auto"/>
        <w:ind w:left="454"/>
      </w:pPr>
      <w:r>
        <w:rPr>
          <w:rFonts w:ascii="맑은 고딕" w:hAnsi="맑은 고딕" w:eastAsia="맑은 고딕"/>
          <w:b w:val="0"/>
          <w:sz w:val="21"/>
        </w:rPr>
        <w:t>경기문화재단의 도 출연금이 521억에서 239억으로 줄고, 부족분을 기본재산 292억 전출로 메웠습니다. 기본재산 잔액은 얼마이고, 내년에도 같은 방식이면 재단 운영이 가능합니까?</w:t>
      </w:r>
    </w:p>
    <w:p>
      <w:pPr>
        <w:spacing w:after="0" w:before="0" w:line="324" w:lineRule="auto"/>
        <w:ind w:left="454"/>
      </w:pPr>
      <w:r>
        <w:rPr>
          <w:rFonts w:ascii="맑은 고딕" w:hAnsi="맑은 고딕" w:eastAsia="맑은 고딕"/>
          <w:b w:val="0"/>
          <w:color w:val="6B7280"/>
          <w:sz w:val="19"/>
        </w:rPr>
        <w:t>· 배경: 처리-9(위탁사업 편중 완화) 추진 중</w:t>
      </w:r>
    </w:p>
    <w:p>
      <w:pPr>
        <w:spacing w:after="0" w:before="0" w:line="324" w:lineRule="auto"/>
        <w:ind w:left="454"/>
      </w:pPr>
      <w:r>
        <w:rPr>
          <w:rFonts w:ascii="맑은 고딕" w:hAnsi="맑은 고딕" w:eastAsia="맑은 고딕"/>
          <w:b w:val="0"/>
          <w:color w:val="6B7280"/>
          <w:sz w:val="19"/>
        </w:rPr>
        <w:t>· 2025 지적: 처리-9(추진 중)</w:t>
      </w:r>
    </w:p>
    <w:p>
      <w:pPr>
        <w:spacing w:after="0" w:before="0" w:line="324" w:lineRule="auto"/>
        <w:ind w:left="454"/>
      </w:pPr>
      <w:r>
        <w:rPr>
          <w:rFonts w:ascii="맑은 고딕" w:hAnsi="맑은 고딕" w:eastAsia="맑은 고딕"/>
          <w:b w:val="0"/>
          <w:color w:val="6B7280"/>
          <w:sz w:val="19"/>
        </w:rPr>
        <w:t>· 관련 자료요구: 문화정책-3</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고양 이전 로드맵</w:t>
      </w:r>
    </w:p>
    <w:p>
      <w:pPr>
        <w:spacing w:after="20" w:before="0" w:line="324" w:lineRule="auto"/>
        <w:ind w:left="454"/>
      </w:pPr>
      <w:r>
        <w:rPr>
          <w:rFonts w:ascii="맑은 고딕" w:hAnsi="맑은 고딕" w:eastAsia="맑은 고딕"/>
          <w:b w:val="0"/>
          <w:sz w:val="21"/>
        </w:rPr>
        <w:t>문화재단·관광공사 고양 이전은 2019년 계획 후 목표가 2024년에서 2029년으로 밀렸습니다. 청사 확보 방식(임차·분양), 소요 예산, 직원 지원 대책은 확정됐습니까?</w:t>
      </w:r>
    </w:p>
    <w:p>
      <w:pPr>
        <w:spacing w:after="0" w:before="0" w:line="324" w:lineRule="auto"/>
        <w:ind w:left="454"/>
      </w:pPr>
      <w:r>
        <w:rPr>
          <w:rFonts w:ascii="맑은 고딕" w:hAnsi="맑은 고딕" w:eastAsia="맑은 고딕"/>
          <w:b w:val="0"/>
          <w:color w:val="6B7280"/>
          <w:sz w:val="19"/>
        </w:rPr>
        <w:t>· 배경: 2025 처리-10 추진 중, 7월 업무보고 때 보완자료 약속</w:t>
      </w:r>
    </w:p>
    <w:p>
      <w:pPr>
        <w:spacing w:after="0" w:before="0" w:line="324" w:lineRule="auto"/>
        <w:ind w:left="454"/>
      </w:pPr>
      <w:r>
        <w:rPr>
          <w:rFonts w:ascii="맑은 고딕" w:hAnsi="맑은 고딕" w:eastAsia="맑은 고딕"/>
          <w:b w:val="0"/>
          <w:color w:val="6B7280"/>
          <w:sz w:val="19"/>
        </w:rPr>
        <w:t>· 2025 지적: 처리-10(추진 중)</w:t>
      </w:r>
    </w:p>
    <w:p>
      <w:pPr>
        <w:spacing w:after="0" w:before="0" w:line="324" w:lineRule="auto"/>
        <w:ind w:left="454"/>
      </w:pPr>
      <w:r>
        <w:rPr>
          <w:rFonts w:ascii="맑은 고딕" w:hAnsi="맑은 고딕" w:eastAsia="맑은 고딕"/>
          <w:b w:val="0"/>
          <w:color w:val="6B7280"/>
          <w:sz w:val="19"/>
        </w:rPr>
        <w:t>· 관련 자료요구: 문화정책-4</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자립형 운영모델</w:t>
      </w:r>
    </w:p>
    <w:p>
      <w:pPr>
        <w:spacing w:after="20" w:before="0" w:line="324" w:lineRule="auto"/>
        <w:ind w:left="454"/>
      </w:pPr>
      <w:r>
        <w:rPr>
          <w:rFonts w:ascii="맑은 고딕" w:hAnsi="맑은 고딕" w:eastAsia="맑은 고딕"/>
          <w:b w:val="0"/>
          <w:sz w:val="21"/>
        </w:rPr>
        <w:t>도립 문화시설의 이용료 현실화·유료회원제 재설계를 추진한다는데, 대상 시설과 요금 인상안, 취약계층 감면 기준은 무엇입니까?</w:t>
      </w:r>
    </w:p>
    <w:p>
      <w:pPr>
        <w:spacing w:after="0" w:before="0" w:line="324" w:lineRule="auto"/>
        <w:ind w:left="454"/>
      </w:pPr>
      <w:r>
        <w:rPr>
          <w:rFonts w:ascii="맑은 고딕" w:hAnsi="맑은 고딕" w:eastAsia="맑은 고딕"/>
          <w:b w:val="0"/>
          <w:color w:val="6B7280"/>
          <w:sz w:val="19"/>
        </w:rPr>
        <w:t>· 배경: 출연금 의존도 89.2%</w:t>
      </w:r>
    </w:p>
    <w:p>
      <w:pPr>
        <w:spacing w:after="0" w:before="0" w:line="324" w:lineRule="auto"/>
        <w:ind w:left="454"/>
      </w:pPr>
      <w:r>
        <w:rPr>
          <w:rFonts w:ascii="맑은 고딕" w:hAnsi="맑은 고딕" w:eastAsia="맑은 고딕"/>
          <w:b w:val="0"/>
          <w:color w:val="6B7280"/>
          <w:sz w:val="19"/>
        </w:rPr>
        <w:t>· 2025 지적: 건의-1()</w:t>
      </w:r>
    </w:p>
    <w:p>
      <w:pPr>
        <w:spacing w:after="0" w:before="0" w:line="324" w:lineRule="auto"/>
        <w:ind w:left="454"/>
      </w:pPr>
      <w:r>
        <w:rPr>
          <w:rFonts w:ascii="맑은 고딕" w:hAnsi="맑은 고딕" w:eastAsia="맑은 고딕"/>
          <w:b w:val="0"/>
          <w:color w:val="6B7280"/>
          <w:sz w:val="19"/>
        </w:rPr>
        <w:t>· 관련 자료요구: 공통-5</w:t>
      </w:r>
    </w:p>
    <w:p>
      <w:pPr>
        <w:spacing w:after="60" w:before="0" w:line="324" w:lineRule="auto"/>
      </w:pPr>
    </w:p>
    <w:p>
      <w:pPr>
        <w:spacing w:after="20" w:before="0" w:line="324" w:lineRule="auto"/>
        <w:ind w:left="113"/>
      </w:pPr>
      <w:r>
        <w:rPr>
          <w:rFonts w:ascii="맑은 고딕" w:hAnsi="맑은 고딕" w:eastAsia="맑은 고딕"/>
          <w:b/>
          <w:sz w:val="21"/>
        </w:rPr>
        <w:t xml:space="preserve">6. </w:t>
      </w:r>
      <w:r>
        <w:rPr>
          <w:rFonts w:ascii="맑은 고딕" w:hAnsi="맑은 고딕" w:eastAsia="맑은 고딕"/>
          <w:b/>
          <w:sz w:val="21"/>
        </w:rPr>
        <w:t>친일잔재 청산 사업 중단</w:t>
      </w:r>
    </w:p>
    <w:p>
      <w:pPr>
        <w:spacing w:after="20" w:before="0" w:line="324" w:lineRule="auto"/>
        <w:ind w:left="454"/>
      </w:pPr>
      <w:r>
        <w:rPr>
          <w:rFonts w:ascii="맑은 고딕" w:hAnsi="맑은 고딕" w:eastAsia="맑은 고딕"/>
          <w:b w:val="0"/>
          <w:sz w:val="21"/>
        </w:rPr>
        <w:t>친일잔재 청산 조례가 있는데 2026년 예산이 미편성됐습니다. 조례상 의무 사업을 중단한 근거는 무엇입니까?</w:t>
      </w:r>
    </w:p>
    <w:p>
      <w:pPr>
        <w:spacing w:after="0" w:before="0" w:line="324" w:lineRule="auto"/>
        <w:ind w:left="454"/>
      </w:pPr>
      <w:r>
        <w:rPr>
          <w:rFonts w:ascii="맑은 고딕" w:hAnsi="맑은 고딕" w:eastAsia="맑은 고딕"/>
          <w:b w:val="0"/>
          <w:color w:val="6B7280"/>
          <w:sz w:val="19"/>
        </w:rPr>
        <w:t>· 배경: 2025 처리-6 추진 중, 조례 미시행 시정-1과 연결</w:t>
      </w:r>
    </w:p>
    <w:p>
      <w:pPr>
        <w:spacing w:after="0" w:before="0" w:line="324" w:lineRule="auto"/>
        <w:ind w:left="454"/>
      </w:pPr>
      <w:r>
        <w:rPr>
          <w:rFonts w:ascii="맑은 고딕" w:hAnsi="맑은 고딕" w:eastAsia="맑은 고딕"/>
          <w:b w:val="0"/>
          <w:color w:val="6B7280"/>
          <w:sz w:val="19"/>
        </w:rPr>
        <w:t>· 2025 지적: 처리-6(추진 중)</w:t>
      </w:r>
    </w:p>
    <w:p>
      <w:pPr>
        <w:spacing w:after="0" w:before="0" w:line="324" w:lineRule="auto"/>
        <w:ind w:left="454"/>
      </w:pPr>
      <w:r>
        <w:rPr>
          <w:rFonts w:ascii="맑은 고딕" w:hAnsi="맑은 고딕" w:eastAsia="맑은 고딕"/>
          <w:b w:val="0"/>
          <w:color w:val="6B7280"/>
          <w:sz w:val="19"/>
        </w:rPr>
        <w:t>· 관련 자료요구: 공통-11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7. 【중점】 </w:t>
      </w:r>
      <w:r>
        <w:rPr>
          <w:rFonts w:ascii="맑은 고딕" w:hAnsi="맑은 고딕" w:eastAsia="맑은 고딕"/>
          <w:b/>
          <w:sz w:val="21"/>
        </w:rPr>
        <w:t>청년문화패스 19~34세 확대 대응</w:t>
      </w:r>
    </w:p>
    <w:p>
      <w:pPr>
        <w:spacing w:after="20" w:before="0" w:line="324" w:lineRule="auto"/>
        <w:ind w:left="454"/>
      </w:pPr>
      <w:r>
        <w:rPr>
          <w:rFonts w:ascii="맑은 고딕" w:hAnsi="맑은 고딕" w:eastAsia="맑은 고딕"/>
          <w:b w:val="0"/>
          <w:sz w:val="21"/>
        </w:rPr>
        <w:t>정부가 2027년 청년문화패스를 19~34세로 넓히고 예산을 7,925억으로 늘립니다. 경기도가 부담해야 할 지방비는 얼마로 추계했고, 재원은 확보돼 있습니까? 경기컬처패스와는 어떻게 역할을 나눕니까?</w:t>
      </w:r>
    </w:p>
    <w:p>
      <w:pPr>
        <w:spacing w:after="0" w:before="0" w:line="324" w:lineRule="auto"/>
        <w:ind w:left="454"/>
      </w:pPr>
      <w:r>
        <w:rPr>
          <w:rFonts w:ascii="맑은 고딕" w:hAnsi="맑은 고딕" w:eastAsia="맑은 고딕"/>
          <w:b w:val="0"/>
          <w:color w:val="6B7280"/>
          <w:sz w:val="19"/>
        </w:rPr>
        <w:t>· 배경: 현재 청년문화예술패스 117.9억(도 11.8억), 컬처패스는 3년 연속 감액</w:t>
      </w:r>
    </w:p>
    <w:p>
      <w:pPr>
        <w:spacing w:after="0" w:before="0" w:line="324" w:lineRule="auto"/>
        <w:ind w:left="454"/>
      </w:pPr>
      <w:r>
        <w:rPr>
          <w:rFonts w:ascii="맑은 고딕" w:hAnsi="맑은 고딕" w:eastAsia="맑은 고딕"/>
          <w:b w:val="0"/>
          <w:color w:val="6B7280"/>
          <w:sz w:val="19"/>
        </w:rPr>
        <w:t>· 관련 자료요구: 문화정책-5</w:t>
      </w:r>
    </w:p>
    <w:p>
      <w:pPr>
        <w:spacing w:after="60" w:before="0" w:line="324" w:lineRule="auto"/>
      </w:pPr>
    </w:p>
    <w:p>
      <w:pPr>
        <w:spacing w:after="20" w:before="0" w:line="324" w:lineRule="auto"/>
        <w:ind w:left="113"/>
      </w:pPr>
      <w:r>
        <w:rPr>
          <w:rFonts w:ascii="맑은 고딕" w:hAnsi="맑은 고딕" w:eastAsia="맑은 고딕"/>
          <w:b/>
          <w:sz w:val="21"/>
        </w:rPr>
        <w:t xml:space="preserve">8. </w:t>
      </w:r>
      <w:r>
        <w:rPr>
          <w:rFonts w:ascii="맑은 고딕" w:hAnsi="맑은 고딕" w:eastAsia="맑은 고딕"/>
          <w:b/>
          <w:sz w:val="21"/>
        </w:rPr>
        <w:t>문화누리카드 이용률</w:t>
      </w:r>
    </w:p>
    <w:p>
      <w:pPr>
        <w:spacing w:after="20" w:before="0" w:line="324" w:lineRule="auto"/>
        <w:ind w:left="454"/>
      </w:pPr>
      <w:r>
        <w:rPr>
          <w:rFonts w:ascii="맑은 고딕" w:hAnsi="맑은 고딕" w:eastAsia="맑은 고딕"/>
          <w:b w:val="0"/>
          <w:sz w:val="21"/>
        </w:rPr>
        <w:t>통합문화이용권은 발급률이 102%인데 이용률은 49.2%입니다. 미사용 잔액은 얼마이고 어떻게 처리됩니까? 이용이 저조한 지역·계층에 대한 대책은 무엇입니까?</w:t>
      </w:r>
    </w:p>
    <w:p>
      <w:pPr>
        <w:spacing w:after="0" w:before="0" w:line="324" w:lineRule="auto"/>
        <w:ind w:left="454"/>
      </w:pPr>
      <w:r>
        <w:rPr>
          <w:rFonts w:ascii="맑은 고딕" w:hAnsi="맑은 고딕" w:eastAsia="맑은 고딕"/>
          <w:b w:val="0"/>
          <w:color w:val="6B7280"/>
          <w:sz w:val="19"/>
        </w:rPr>
        <w:t>· 배경: 1인 15만 원, 경기도 778억</w:t>
      </w:r>
    </w:p>
    <w:p>
      <w:pPr>
        <w:spacing w:after="0" w:before="0" w:line="324" w:lineRule="auto"/>
        <w:ind w:left="454"/>
      </w:pPr>
      <w:r>
        <w:rPr>
          <w:rFonts w:ascii="맑은 고딕" w:hAnsi="맑은 고딕" w:eastAsia="맑은 고딕"/>
          <w:b w:val="0"/>
          <w:color w:val="6B7280"/>
          <w:sz w:val="19"/>
        </w:rPr>
        <w:t>· 관련 자료요구: 문화정책-6</w:t>
      </w:r>
    </w:p>
    <w:p>
      <w:pPr>
        <w:spacing w:after="60" w:before="0" w:line="324" w:lineRule="auto"/>
      </w:pPr>
    </w:p>
    <w:p>
      <w:pPr>
        <w:spacing w:after="20" w:before="0" w:line="324" w:lineRule="auto"/>
        <w:ind w:left="113"/>
      </w:pPr>
      <w:r>
        <w:rPr>
          <w:rFonts w:ascii="맑은 고딕" w:hAnsi="맑은 고딕" w:eastAsia="맑은 고딕"/>
          <w:b/>
          <w:sz w:val="21"/>
        </w:rPr>
        <w:t xml:space="preserve">9. </w:t>
      </w:r>
      <w:r>
        <w:rPr>
          <w:rFonts w:ascii="맑은 고딕" w:hAnsi="맑은 고딕" w:eastAsia="맑은 고딕"/>
          <w:b/>
          <w:sz w:val="21"/>
        </w:rPr>
        <w:t>2026 청년문화예술패스 미사용분 활용</w:t>
      </w:r>
    </w:p>
    <w:p>
      <w:pPr>
        <w:spacing w:after="20" w:before="0" w:line="324" w:lineRule="auto"/>
        <w:ind w:left="454"/>
      </w:pPr>
      <w:r>
        <w:rPr>
          <w:rFonts w:ascii="맑은 고딕" w:hAnsi="맑은 고딕" w:eastAsia="맑은 고딕"/>
          <w:b w:val="0"/>
          <w:sz w:val="21"/>
        </w:rPr>
        <w:t>인천시는 2026년 청년문화예술패스 미발급·미사용분을 활용해 1,648명에게 1인 15만 원을 추가 발급했습니다. 경기도의 2026년 청년문화예술패스 발급률과 사용률은 얼마이고, 연말까지 남는 예산을 추가 발급 등으로 활용할 계획이 있습니까?</w:t>
      </w:r>
    </w:p>
    <w:p>
      <w:pPr>
        <w:spacing w:after="0" w:before="0" w:line="324" w:lineRule="auto"/>
        <w:ind w:left="454"/>
      </w:pPr>
      <w:r>
        <w:rPr>
          <w:rFonts w:ascii="맑은 고딕" w:hAnsi="맑은 고딕" w:eastAsia="맑은 고딕"/>
          <w:b w:val="0"/>
          <w:color w:val="6B7280"/>
          <w:sz w:val="19"/>
        </w:rPr>
        <w:t>· 배경: 인천시 청년문화예술패스 1,648명 추가 발급(경향신문 등 2026.9.30), 경기 2026년 117.9억·74,930명 발급(B2)</w:t>
      </w:r>
    </w:p>
    <w:p>
      <w:pPr>
        <w:spacing w:after="60" w:before="0" w:line="324" w:lineRule="auto"/>
      </w:pPr>
    </w:p>
    <w:p>
      <w:pPr>
        <w:spacing w:after="20" w:before="0" w:line="324" w:lineRule="auto"/>
        <w:ind w:left="113"/>
      </w:pPr>
      <w:r>
        <w:rPr>
          <w:rFonts w:ascii="맑은 고딕" w:hAnsi="맑은 고딕" w:eastAsia="맑은 고딕"/>
          <w:b/>
          <w:sz w:val="21"/>
        </w:rPr>
        <w:t xml:space="preserve">10. </w:t>
      </w:r>
      <w:r>
        <w:rPr>
          <w:rFonts w:ascii="맑은 고딕" w:hAnsi="맑은 고딕" w:eastAsia="맑은 고딕"/>
          <w:b/>
          <w:sz w:val="21"/>
        </w:rPr>
        <w:t>청년문화예술패스 지역 격차</w:t>
      </w:r>
    </w:p>
    <w:p>
      <w:pPr>
        <w:spacing w:after="20" w:before="0" w:line="324" w:lineRule="auto"/>
        <w:ind w:left="454"/>
      </w:pPr>
      <w:r>
        <w:rPr>
          <w:rFonts w:ascii="맑은 고딕" w:hAnsi="맑은 고딕" w:eastAsia="맑은 고딕"/>
          <w:b w:val="0"/>
          <w:sz w:val="21"/>
        </w:rPr>
        <w:t>국정감사에서 청년문화예술패스의 지역 격차 문제가 지적됐습니다. 경기도 내 시군별 발급·사용률 편차는 어느 정도이고, 사용처가 적은 시군에 대한 대책은 무엇입니까? 경기컬처패스와 대상·사용처가 겹치는 부분은 어떻게 조정하고 있습니까?</w:t>
      </w:r>
    </w:p>
    <w:p>
      <w:pPr>
        <w:spacing w:after="0" w:before="0" w:line="324" w:lineRule="auto"/>
        <w:ind w:left="454"/>
      </w:pPr>
      <w:r>
        <w:rPr>
          <w:rFonts w:ascii="맑은 고딕" w:hAnsi="맑은 고딕" w:eastAsia="맑은 고딕"/>
          <w:b w:val="0"/>
          <w:color w:val="6B7280"/>
          <w:sz w:val="19"/>
        </w:rPr>
        <w:t>· 배경: 2026.10.8 국정감사 지적 보도(정준호 의원) — 문화예술 자율성·청년문화예술패스 지역 격차</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11. 【중점】 </w:t>
      </w:r>
      <w:r>
        <w:rPr>
          <w:rFonts w:ascii="맑은 고딕" w:hAnsi="맑은 고딕" w:eastAsia="맑은 고딕"/>
          <w:b/>
          <w:sz w:val="21"/>
        </w:rPr>
        <w:t>문화기반시설 건립 타당성조사와 사후 활용</w:t>
      </w:r>
    </w:p>
    <w:p>
      <w:pPr>
        <w:spacing w:after="20" w:before="0" w:line="324" w:lineRule="auto"/>
        <w:ind w:left="454"/>
      </w:pPr>
      <w:r>
        <w:rPr>
          <w:rFonts w:ascii="맑은 고딕" w:hAnsi="맑은 고딕" w:eastAsia="맑은 고딕"/>
          <w:b w:val="0"/>
          <w:sz w:val="21"/>
        </w:rPr>
        <w:t>인천 연수구가 타당성 조사 없이 문예회관 건립을 강행해 18억 원을 낭비했다는 감사원 지적을 받았고, 천안은 문화도시센터 무상사용 계획을 철회했습니다. 경기도가 도비를 지원하는 공립박물관·문예회관은 타당성조사와 운영계획을 어떤 기준으로 확인하고 교부합니까? 평택박물관처럼 도비가 대폭 감액된 시설의 공정과 운영 준비는 어떻게 관리하고 있습니까?</w:t>
      </w:r>
    </w:p>
    <w:p>
      <w:pPr>
        <w:spacing w:after="0" w:before="0" w:line="324" w:lineRule="auto"/>
        <w:ind w:left="454"/>
      </w:pPr>
      <w:r>
        <w:rPr>
          <w:rFonts w:ascii="맑은 고딕" w:hAnsi="맑은 고딕" w:eastAsia="맑은 고딕"/>
          <w:b w:val="0"/>
          <w:color w:val="6B7280"/>
          <w:sz w:val="19"/>
        </w:rPr>
        <w:t>· 배경: 인천 연수구 문예회관 감사원 주의(2026.10.13), 천안문화도시센터 무상사용 철회(10.15)</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[문화정책-1] ∘ 경기컬처패스 추진 현황(2024~2026.9.)</w:t>
      </w:r>
    </w:p>
    <w:p>
      <w:pPr>
        <w:spacing w:after="0" w:before="0" w:line="324" w:lineRule="auto"/>
        <w:ind w:left="510"/>
      </w:pPr>
      <w:r>
        <w:rPr>
          <w:rFonts w:ascii="맑은 고딕" w:hAnsi="맑은 고딕" w:eastAsia="맑은 고딕"/>
          <w:b w:val="0"/>
          <w:sz w:val="20"/>
        </w:rPr>
        <w:t>- 연도별 본예산·추경 감액·집행액</w:t>
      </w:r>
    </w:p>
    <w:p>
      <w:pPr>
        <w:spacing w:after="0" w:before="0" w:line="324" w:lineRule="auto"/>
        <w:ind w:left="510"/>
      </w:pPr>
      <w:r>
        <w:rPr>
          <w:rFonts w:ascii="맑은 고딕" w:hAnsi="맑은 고딕" w:eastAsia="맑은 고딕"/>
          <w:b w:val="0"/>
          <w:sz w:val="20"/>
        </w:rPr>
        <w:t>- 회원 수, 쿠폰 발급·사용률(시군·연령·분야별), 60대 이상 이용 실적</w:t>
      </w:r>
    </w:p>
    <w:p>
      <w:pPr>
        <w:spacing w:after="0" w:before="0" w:line="324" w:lineRule="auto"/>
        <w:ind w:left="510"/>
      </w:pPr>
      <w:r>
        <w:rPr>
          <w:rFonts w:ascii="맑은 고딕" w:hAnsi="맑은 고딕" w:eastAsia="맑은 고딕"/>
          <w:b w:val="0"/>
          <w:sz w:val="20"/>
        </w:rPr>
        <w:t>- 재설계(한도 상향·상시발급) 전후 성과 비교</w:t>
      </w:r>
    </w:p>
    <w:p>
      <w:pPr>
        <w:spacing w:after="40" w:before="0" w:line="324" w:lineRule="auto"/>
      </w:pPr>
    </w:p>
    <w:p>
      <w:pPr>
        <w:spacing w:after="0" w:before="0" w:line="324" w:lineRule="auto"/>
        <w:ind w:left="113"/>
      </w:pPr>
      <w:r>
        <w:rPr>
          <w:rFonts w:ascii="맑은 고딕" w:hAnsi="맑은 고딕" w:eastAsia="맑은 고딕"/>
          <w:b/>
          <w:sz w:val="21"/>
        </w:rPr>
        <w:t>[문화정책-2] ∘ 공립박물관·문예회관 등 문화기반시설 건립 도비 지원 현황</w:t>
      </w:r>
    </w:p>
    <w:p>
      <w:pPr>
        <w:spacing w:after="0" w:before="0" w:line="324" w:lineRule="auto"/>
        <w:ind w:left="510"/>
      </w:pPr>
      <w:r>
        <w:rPr>
          <w:rFonts w:ascii="맑은 고딕" w:hAnsi="맑은 고딕" w:eastAsia="맑은 고딕"/>
          <w:b w:val="0"/>
          <w:sz w:val="20"/>
        </w:rPr>
        <w:t>- 시설별 총사업비, 도비 약정액, 연도별 교부·감액 내역</w:t>
      </w:r>
    </w:p>
    <w:p>
      <w:pPr>
        <w:spacing w:after="0" w:before="0" w:line="324" w:lineRule="auto"/>
        <w:ind w:left="510"/>
      </w:pPr>
      <w:r>
        <w:rPr>
          <w:rFonts w:ascii="맑은 고딕" w:hAnsi="맑은 고딕" w:eastAsia="맑은 고딕"/>
          <w:b w:val="0"/>
          <w:sz w:val="20"/>
        </w:rPr>
        <w:t>- 공정률 및 준공 예정일, 2027년 교부 계획</w:t>
      </w:r>
    </w:p>
    <w:p>
      <w:pPr>
        <w:spacing w:after="40" w:before="0" w:line="324" w:lineRule="auto"/>
      </w:pPr>
    </w:p>
    <w:p>
      <w:pPr>
        <w:spacing w:after="0" w:before="0" w:line="324" w:lineRule="auto"/>
        <w:ind w:left="113"/>
      </w:pPr>
      <w:r>
        <w:rPr>
          <w:rFonts w:ascii="맑은 고딕" w:hAnsi="맑은 고딕" w:eastAsia="맑은 고딕"/>
          <w:b/>
          <w:sz w:val="21"/>
        </w:rPr>
        <w:t>[문화정책-3] ∘ 경기문화재단 기본재산 운용 및 전출 현황(최근 3년)</w:t>
      </w:r>
    </w:p>
    <w:p>
      <w:pPr>
        <w:spacing w:after="0" w:before="0" w:line="324" w:lineRule="auto"/>
        <w:ind w:left="510"/>
      </w:pPr>
      <w:r>
        <w:rPr>
          <w:rFonts w:ascii="맑은 고딕" w:hAnsi="맑은 고딕" w:eastAsia="맑은 고딕"/>
          <w:b w:val="0"/>
          <w:sz w:val="20"/>
        </w:rPr>
        <w:t>- 기본재산 총액·운용상품, 연도별 전출액과 용도</w:t>
      </w:r>
    </w:p>
    <w:p>
      <w:pPr>
        <w:spacing w:after="0" w:before="0" w:line="324" w:lineRule="auto"/>
        <w:ind w:left="510"/>
      </w:pPr>
      <w:r>
        <w:rPr>
          <w:rFonts w:ascii="맑은 고딕" w:hAnsi="맑은 고딕" w:eastAsia="맑은 고딕"/>
          <w:b w:val="0"/>
          <w:sz w:val="20"/>
        </w:rPr>
        <w:t>- 2027년 출연금 요구액</w:t>
      </w:r>
    </w:p>
    <w:p>
      <w:pPr>
        <w:spacing w:after="40" w:before="0" w:line="324" w:lineRule="auto"/>
      </w:pPr>
    </w:p>
    <w:p>
      <w:pPr>
        <w:spacing w:after="0" w:before="0" w:line="324" w:lineRule="auto"/>
        <w:ind w:left="113"/>
      </w:pPr>
      <w:r>
        <w:rPr>
          <w:rFonts w:ascii="맑은 고딕" w:hAnsi="맑은 고딕" w:eastAsia="맑은 고딕"/>
          <w:b/>
          <w:sz w:val="21"/>
        </w:rPr>
        <w:t>[문화정책-4] ∘ 문화재단·관광공사 고양 이전 추진 계획</w:t>
      </w:r>
    </w:p>
    <w:p>
      <w:pPr>
        <w:spacing w:after="0" w:before="0" w:line="324" w:lineRule="auto"/>
        <w:ind w:left="510"/>
      </w:pPr>
      <w:r>
        <w:rPr>
          <w:rFonts w:ascii="맑은 고딕" w:hAnsi="맑은 고딕" w:eastAsia="맑은 고딕"/>
          <w:b w:val="0"/>
          <w:sz w:val="20"/>
        </w:rPr>
        <w:t>- 이전 대상 인원·부서, 청사 확보 방식별 비용 비교</w:t>
      </w:r>
    </w:p>
    <w:p>
      <w:pPr>
        <w:spacing w:after="0" w:before="0" w:line="324" w:lineRule="auto"/>
        <w:ind w:left="510"/>
      </w:pPr>
      <w:r>
        <w:rPr>
          <w:rFonts w:ascii="맑은 고딕" w:hAnsi="맑은 고딕" w:eastAsia="맑은 고딕"/>
          <w:b w:val="0"/>
          <w:sz w:val="20"/>
        </w:rPr>
        <w:t>- 추진 일정, 직원 설명회·의견수렴 결과</w:t>
      </w:r>
    </w:p>
    <w:p>
      <w:pPr>
        <w:spacing w:after="40" w:before="0" w:line="324" w:lineRule="auto"/>
      </w:pPr>
    </w:p>
    <w:p>
      <w:pPr>
        <w:spacing w:after="0" w:before="0" w:line="324" w:lineRule="auto"/>
        <w:ind w:left="113"/>
      </w:pPr>
      <w:r>
        <w:rPr>
          <w:rFonts w:ascii="맑은 고딕" w:hAnsi="맑은 고딕" w:eastAsia="맑은 고딕"/>
          <w:b/>
          <w:sz w:val="21"/>
        </w:rPr>
        <w:t>[문화정책-5] ∘ 청년문화예술패스 국비 확대 대응 계획</w:t>
      </w:r>
    </w:p>
    <w:p>
      <w:pPr>
        <w:spacing w:after="0" w:before="0" w:line="324" w:lineRule="auto"/>
        <w:ind w:left="510"/>
      </w:pPr>
      <w:r>
        <w:rPr>
          <w:rFonts w:ascii="맑은 고딕" w:hAnsi="맑은 고딕" w:eastAsia="맑은 고딕"/>
          <w:b w:val="0"/>
          <w:sz w:val="20"/>
        </w:rPr>
        <w:t>- 정부 확대안의 지방비 매칭 비율, 경기도·시군 부담 추계(2027~)</w:t>
      </w:r>
    </w:p>
    <w:p>
      <w:pPr>
        <w:spacing w:after="0" w:before="0" w:line="324" w:lineRule="auto"/>
        <w:ind w:left="510"/>
      </w:pPr>
      <w:r>
        <w:rPr>
          <w:rFonts w:ascii="맑은 고딕" w:hAnsi="맑은 고딕" w:eastAsia="맑은 고딕"/>
          <w:b w:val="0"/>
          <w:sz w:val="20"/>
        </w:rPr>
        <w:t>- 컬처패스와의 대상·사용처 중복 분석 및 조정안</w:t>
      </w:r>
    </w:p>
    <w:p>
      <w:pPr>
        <w:spacing w:after="40" w:before="0" w:line="324" w:lineRule="auto"/>
      </w:pPr>
    </w:p>
    <w:p>
      <w:pPr>
        <w:spacing w:after="0" w:before="0" w:line="324" w:lineRule="auto"/>
        <w:ind w:left="113"/>
      </w:pPr>
      <w:r>
        <w:rPr>
          <w:rFonts w:ascii="맑은 고딕" w:hAnsi="맑은 고딕" w:eastAsia="맑은 고딕"/>
          <w:b/>
          <w:sz w:val="21"/>
        </w:rPr>
        <w:t>[문화정책-6] ∘ 통합문화이용권 이용 현황(최근 3년)</w:t>
      </w:r>
    </w:p>
    <w:p>
      <w:pPr>
        <w:spacing w:after="0" w:before="0" w:line="324" w:lineRule="auto"/>
        <w:ind w:left="510"/>
      </w:pPr>
      <w:r>
        <w:rPr>
          <w:rFonts w:ascii="맑은 고딕" w:hAnsi="맑은 고딕" w:eastAsia="맑은 고딕"/>
          <w:b w:val="0"/>
          <w:sz w:val="20"/>
        </w:rPr>
        <w:t>- 시군·연령·유형별 발급·이용률, 미사용 잔액과 반납액</w:t>
      </w:r>
    </w:p>
    <w:p>
      <w:pPr>
        <w:spacing w:after="0" w:before="0" w:line="324" w:lineRule="auto"/>
        <w:ind w:left="510"/>
      </w:pPr>
      <w:r>
        <w:rPr>
          <w:rFonts w:ascii="맑은 고딕" w:hAnsi="맑은 고딕" w:eastAsia="맑은 고딕"/>
          <w:b w:val="0"/>
          <w:sz w:val="20"/>
        </w:rPr>
        <w:t>- 가맹점 현황(시군·분야별)</w:t>
      </w:r>
    </w:p>
    <w:p>
      <w:pPr>
        <w:spacing w:after="40" w:before="0" w:line="324" w:lineRule="auto"/>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