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예술정책과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예술정책과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예술인 기회소득은 연 150만 원을 안내하고 신청받은 뒤 75만 원만 지급하고 2차분을 중단했다(도·시군비 28.59억 감액). 경기민예총 서명·기자회견 등 예술계 반발이 크고, 성과평가 없이 폐지를 결정한 절차가 쟁점이다. 부서 예산은 국 내 최대 폭(△402억) 감소했다.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신청 후 지원 축소</w:t>
      </w:r>
    </w:p>
    <w:p>
      <w:pPr>
        <w:spacing w:after="20" w:before="0" w:line="324" w:lineRule="auto"/>
        <w:ind w:left="454"/>
      </w:pPr>
      <w:r>
        <w:rPr>
          <w:rFonts w:ascii="맑은 고딕" w:hAnsi="맑은 고딕" w:eastAsia="맑은 고딕"/>
          <w:b w:val="0"/>
          <w:sz w:val="21"/>
        </w:rPr>
        <w:t>예술인 기회소득은 5~6월에 연 150만 원으로 공고·접수한 뒤 절반만 지급했습니다. 이미 선정된 약 1만 1천 명에게 축소 사실을 언제, 어떻게 안내했습니까? 공고문의 “재정상황에 따라 변경” 문구가 추가된 시점은 언제입니까?</w:t>
      </w:r>
    </w:p>
    <w:p>
      <w:pPr>
        <w:spacing w:after="0" w:before="0" w:line="324" w:lineRule="auto"/>
        <w:ind w:left="454"/>
      </w:pPr>
      <w:r>
        <w:rPr>
          <w:rFonts w:ascii="맑은 고딕" w:hAnsi="맑은 고딕" w:eastAsia="맑은 고딕"/>
          <w:b w:val="0"/>
          <w:color w:val="6B7280"/>
          <w:sz w:val="19"/>
        </w:rPr>
        <w:t>· 배경: 경기민예총 648명 서명, “신뢰 저버림”</w:t>
      </w:r>
    </w:p>
    <w:p>
      <w:pPr>
        <w:spacing w:after="0" w:before="0" w:line="324" w:lineRule="auto"/>
        <w:ind w:left="454"/>
      </w:pPr>
      <w:r>
        <w:rPr>
          <w:rFonts w:ascii="맑은 고딕" w:hAnsi="맑은 고딕" w:eastAsia="맑은 고딕"/>
          <w:b w:val="0"/>
          <w:color w:val="6B7280"/>
          <w:sz w:val="19"/>
        </w:rPr>
        <w:t>· 관련 자료요구: 예술정책-1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성과평가 없는 폐지</w:t>
      </w:r>
    </w:p>
    <w:p>
      <w:pPr>
        <w:spacing w:after="20" w:before="0" w:line="324" w:lineRule="auto"/>
        <w:ind w:left="454"/>
      </w:pPr>
      <w:r>
        <w:rPr>
          <w:rFonts w:ascii="맑은 고딕" w:hAnsi="맑은 고딕" w:eastAsia="맑은 고딕"/>
          <w:b w:val="0"/>
          <w:sz w:val="21"/>
        </w:rPr>
        <w:t>작년 행감에서 요구한 기회소득 성과평가 전면 개편과 종단적 영향평가는 9월 용역 착수로 미뤄졌습니다. 평가 결과도 없이 폐지를 결정한 근거는 무엇입니까?</w:t>
      </w:r>
    </w:p>
    <w:p>
      <w:pPr>
        <w:spacing w:after="0" w:before="0" w:line="324" w:lineRule="auto"/>
        <w:ind w:left="454"/>
      </w:pPr>
      <w:r>
        <w:rPr>
          <w:rFonts w:ascii="맑은 고딕" w:hAnsi="맑은 고딕" w:eastAsia="맑은 고딕"/>
          <w:b w:val="0"/>
          <w:color w:val="6B7280"/>
          <w:sz w:val="19"/>
        </w:rPr>
        <w:t>· 배경: 2025 처리-22·24 추진 중</w:t>
      </w:r>
    </w:p>
    <w:p>
      <w:pPr>
        <w:spacing w:after="0" w:before="0" w:line="324" w:lineRule="auto"/>
        <w:ind w:left="454"/>
      </w:pPr>
      <w:r>
        <w:rPr>
          <w:rFonts w:ascii="맑은 고딕" w:hAnsi="맑은 고딕" w:eastAsia="맑은 고딕"/>
          <w:b w:val="0"/>
          <w:color w:val="6B7280"/>
          <w:sz w:val="19"/>
        </w:rPr>
        <w:t>· 2025 지적: 처리-22(추진 중), 처리-24(추진 중)</w:t>
      </w:r>
    </w:p>
    <w:p>
      <w:pPr>
        <w:spacing w:after="0" w:before="0" w:line="324" w:lineRule="auto"/>
        <w:ind w:left="454"/>
      </w:pPr>
      <w:r>
        <w:rPr>
          <w:rFonts w:ascii="맑은 고딕" w:hAnsi="맑은 고딕" w:eastAsia="맑은 고딕"/>
          <w:b w:val="0"/>
          <w:color w:val="6B7280"/>
          <w:sz w:val="19"/>
        </w:rPr>
        <w:t>· 관련 자료요구: 예술정책-2</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예술인 지원 대안</w:t>
      </w:r>
    </w:p>
    <w:p>
      <w:pPr>
        <w:spacing w:after="20" w:before="0" w:line="324" w:lineRule="auto"/>
        <w:ind w:left="454"/>
      </w:pPr>
      <w:r>
        <w:rPr>
          <w:rFonts w:ascii="맑은 고딕" w:hAnsi="맑은 고딕" w:eastAsia="맑은 고딕"/>
          <w:b w:val="0"/>
          <w:sz w:val="21"/>
        </w:rPr>
        <w:t>기회소득을 폐지한다면 창작 지원이나 사회보장 연계 등 대체 지원 방안은 무엇이고, 2027년 예산은 얼마나 반영합니까?</w:t>
      </w:r>
    </w:p>
    <w:p>
      <w:pPr>
        <w:spacing w:after="0" w:before="0" w:line="324" w:lineRule="auto"/>
        <w:ind w:left="454"/>
      </w:pPr>
      <w:r>
        <w:rPr>
          <w:rFonts w:ascii="맑은 고딕" w:hAnsi="맑은 고딕" w:eastAsia="맑은 고딕"/>
          <w:b w:val="0"/>
          <w:color w:val="6B7280"/>
          <w:sz w:val="19"/>
        </w:rPr>
        <w:t>· 관련 자료요구: 예술정책-3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부서 예산 급감</w:t>
      </w:r>
    </w:p>
    <w:p>
      <w:pPr>
        <w:spacing w:after="20" w:before="0" w:line="324" w:lineRule="auto"/>
        <w:ind w:left="454"/>
      </w:pPr>
      <w:r>
        <w:rPr>
          <w:rFonts w:ascii="맑은 고딕" w:hAnsi="맑은 고딕" w:eastAsia="맑은 고딕"/>
          <w:b w:val="0"/>
          <w:sz w:val="21"/>
        </w:rPr>
        <w:t>예술정책과 예산이 1,161억에서 759억으로 402억(34.6%) 줄었습니다. 감소 사업별 사유와 예술인·도민에게 미치는 영향은 무엇입니까?</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시군 매칭과 지역 격차</w:t>
      </w:r>
    </w:p>
    <w:p>
      <w:pPr>
        <w:spacing w:after="20" w:before="0" w:line="324" w:lineRule="auto"/>
        <w:ind w:left="454"/>
      </w:pPr>
      <w:r>
        <w:rPr>
          <w:rFonts w:ascii="맑은 고딕" w:hAnsi="맑은 고딕" w:eastAsia="맑은 고딕"/>
          <w:b w:val="0"/>
          <w:sz w:val="21"/>
        </w:rPr>
        <w:t>고양 등 일부 시군은 기회소득에 참여하지 않아 예술인이 많은데도 혜택이 없었습니다. 시군 참여 여부에 따른 격차를 어떻게 봅니까?</w:t>
      </w:r>
    </w:p>
    <w:p>
      <w:pPr>
        <w:spacing w:after="0" w:before="0" w:line="324" w:lineRule="auto"/>
        <w:ind w:left="454"/>
      </w:pPr>
      <w:r>
        <w:rPr>
          <w:rFonts w:ascii="맑은 고딕" w:hAnsi="맑은 고딕" w:eastAsia="맑은 고딕"/>
          <w:b w:val="0"/>
          <w:color w:val="6B7280"/>
          <w:sz w:val="19"/>
        </w:rPr>
        <w:t>· 배경: “예술인 제일 많은데 혜택 0원” 고양 보도(5월)</w:t>
      </w:r>
    </w:p>
    <w:p>
      <w:pPr>
        <w:spacing w:after="0" w:before="0" w:line="324" w:lineRule="auto"/>
        <w:ind w:left="454"/>
      </w:pPr>
      <w:r>
        <w:rPr>
          <w:rFonts w:ascii="맑은 고딕" w:hAnsi="맑은 고딕" w:eastAsia="맑은 고딕"/>
          <w:b w:val="0"/>
          <w:color w:val="6B7280"/>
          <w:sz w:val="19"/>
        </w:rPr>
        <w:t>· 관련 자료요구: 예술정책-1</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예술활동증명 처리 지연이 도 예술인 기회소득 심사에 미치는 영향</w:t>
      </w:r>
    </w:p>
    <w:p>
      <w:pPr>
        <w:spacing w:after="20" w:before="0" w:line="324" w:lineRule="auto"/>
        <w:ind w:left="454"/>
      </w:pPr>
      <w:r>
        <w:rPr>
          <w:rFonts w:ascii="맑은 고딕" w:hAnsi="맑은 고딕" w:eastAsia="맑은 고딕"/>
          <w:b w:val="0"/>
          <w:sz w:val="21"/>
        </w:rPr>
        <w:t>한국예술인복지재단의 예술활동증명 담당 인력이 5명뿐이라 올해 신청 17만 건 처리가 크게 지연되고 있다는 지적이 나왔습니다(국회 문체위 이정문 의원). 경기도 예술인 기회소득 신청자 중 이 증명 발급 지연으로 심사·지급이 늦어진 사례가 있습니까? 있다면 도 차원의 대응 방안은 무엇입니까?</w:t>
      </w:r>
    </w:p>
    <w:p>
      <w:pPr>
        <w:spacing w:after="0" w:before="0" w:line="324" w:lineRule="auto"/>
        <w:ind w:left="454"/>
      </w:pPr>
      <w:r>
        <w:rPr>
          <w:rFonts w:ascii="맑은 고딕" w:hAnsi="맑은 고딕" w:eastAsia="맑은 고딕"/>
          <w:b w:val="0"/>
          <w:color w:val="6B7280"/>
          <w:sz w:val="19"/>
        </w:rPr>
        <w:t>· 배경: 국회 문체위 이정문 의원실 자료, 연합뉴스 2026.9.23.</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기회소득 집행액 급감의 실제 규모</w:t>
      </w:r>
    </w:p>
    <w:p>
      <w:pPr>
        <w:spacing w:after="20" w:before="0" w:line="324" w:lineRule="auto"/>
        <w:ind w:left="454"/>
      </w:pPr>
      <w:r>
        <w:rPr>
          <w:rFonts w:ascii="맑은 고딕" w:hAnsi="맑은 고딕" w:eastAsia="맑은 고딕"/>
          <w:b w:val="0"/>
          <w:sz w:val="21"/>
        </w:rPr>
        <w:t>예술인 기회소득 집행액이 전년의 절반 수준으로 줄었다는 보도가 있습니다. 연도별 예산·집행액과 지급 인원을 시군별로 제시하고, 당초 계획 대비 몇 명이 얼마를 받지 못했는지 밝혀 주십시오.</w:t>
      </w:r>
    </w:p>
    <w:p>
      <w:pPr>
        <w:spacing w:after="0" w:before="0" w:line="324" w:lineRule="auto"/>
        <w:ind w:left="454"/>
      </w:pPr>
      <w:r>
        <w:rPr>
          <w:rFonts w:ascii="맑은 고딕" w:hAnsi="맑은 고딕" w:eastAsia="맑은 고딕"/>
          <w:b w:val="0"/>
          <w:color w:val="6B7280"/>
          <w:sz w:val="19"/>
        </w:rPr>
        <w:t>· 배경: 2026.10.17 보도 — 예술인 기회소득 반토막</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예술인 복지 지원의 지역 격차</w:t>
      </w:r>
    </w:p>
    <w:p>
      <w:pPr>
        <w:spacing w:after="20" w:before="0" w:line="324" w:lineRule="auto"/>
        <w:ind w:left="454"/>
      </w:pPr>
      <w:r>
        <w:rPr>
          <w:rFonts w:ascii="맑은 고딕" w:hAnsi="맑은 고딕" w:eastAsia="맑은 고딕"/>
          <w:b w:val="0"/>
          <w:sz w:val="21"/>
        </w:rPr>
        <w:t>국회에서 지역 예술인이 차별 없이 지원받아야 한다는 지적이 나왔습니다. 경기도 예술인 지원사업의 시군별 신청·선정 비율을 보면 북부와 농촌 시군이 낮지 않습니까? 접수 창구와 심사 기준에서 지역 격차를 줄일 방법을 어떻게 검토하고 있습니까?</w:t>
      </w:r>
    </w:p>
    <w:p>
      <w:pPr>
        <w:spacing w:after="0" w:before="0" w:line="324" w:lineRule="auto"/>
        <w:ind w:left="454"/>
      </w:pPr>
      <w:r>
        <w:rPr>
          <w:rFonts w:ascii="맑은 고딕" w:hAnsi="맑은 고딕" w:eastAsia="맑은 고딕"/>
          <w:b w:val="0"/>
          <w:color w:val="6B7280"/>
          <w:sz w:val="19"/>
        </w:rPr>
        <w:t>· 배경: 김윤덕 의원 예술인 복지정책 개선 촉구 보도(2026.10.18)</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[예술정책-1] ∘ 예술인 기회소득 추진 현황(2023~2026.9.)</w:t>
      </w:r>
    </w:p>
    <w:p>
      <w:pPr>
        <w:spacing w:after="0" w:before="0" w:line="324" w:lineRule="auto"/>
        <w:ind w:left="510"/>
      </w:pPr>
      <w:r>
        <w:rPr>
          <w:rFonts w:ascii="맑은 고딕" w:hAnsi="맑은 고딕" w:eastAsia="맑은 고딕"/>
          <w:b w:val="0"/>
          <w:sz w:val="20"/>
        </w:rPr>
        <w:t>- 연도별 예산(본예산·추경 증감)·집행액, 시군별 신청·선정·지급자 수와 금액</w:t>
      </w:r>
    </w:p>
    <w:p>
      <w:pPr>
        <w:spacing w:after="0" w:before="0" w:line="324" w:lineRule="auto"/>
        <w:ind w:left="510"/>
      </w:pPr>
      <w:r>
        <w:rPr>
          <w:rFonts w:ascii="맑은 고딕" w:hAnsi="맑은 고딕" w:eastAsia="맑은 고딕"/>
          <w:b w:val="0"/>
          <w:sz w:val="20"/>
        </w:rPr>
        <w:t>- 2026년 공고문(최초·변경) 및 선정자 안내 문자·공문</w:t>
      </w:r>
    </w:p>
    <w:p>
      <w:pPr>
        <w:spacing w:after="0" w:before="0" w:line="324" w:lineRule="auto"/>
        <w:ind w:left="510"/>
      </w:pPr>
      <w:r>
        <w:rPr>
          <w:rFonts w:ascii="맑은 고딕" w:hAnsi="맑은 고딕" w:eastAsia="맑은 고딕"/>
          <w:b w:val="0"/>
          <w:sz w:val="20"/>
        </w:rPr>
        <w:t>- 미참여 시군 및 사유</w:t>
      </w:r>
    </w:p>
    <w:p>
      <w:pPr>
        <w:spacing w:after="40" w:before="0" w:line="324" w:lineRule="auto"/>
      </w:pPr>
    </w:p>
    <w:p>
      <w:pPr>
        <w:spacing w:after="0" w:before="0" w:line="324" w:lineRule="auto"/>
        <w:ind w:left="113"/>
      </w:pPr>
      <w:r>
        <w:rPr>
          <w:rFonts w:ascii="맑은 고딕" w:hAnsi="맑은 고딕" w:eastAsia="맑은 고딕"/>
          <w:b/>
          <w:sz w:val="21"/>
        </w:rPr>
        <w:t>[예술정책-2] ∘ 예술인 기회소득 성과평가·정책효과 분석 자료</w:t>
      </w:r>
    </w:p>
    <w:p>
      <w:pPr>
        <w:spacing w:after="0" w:before="0" w:line="324" w:lineRule="auto"/>
        <w:ind w:left="510"/>
      </w:pPr>
      <w:r>
        <w:rPr>
          <w:rFonts w:ascii="맑은 고딕" w:hAnsi="맑은 고딕" w:eastAsia="맑은 고딕"/>
          <w:b w:val="0"/>
          <w:sz w:val="20"/>
        </w:rPr>
        <w:t>- 연구용역 과업지시서, 착수·중간보고, 만족도 조사 결과</w:t>
      </w:r>
    </w:p>
    <w:p>
      <w:pPr>
        <w:spacing w:after="0" w:before="0" w:line="324" w:lineRule="auto"/>
        <w:ind w:left="510"/>
      </w:pPr>
      <w:r>
        <w:rPr>
          <w:rFonts w:ascii="맑은 고딕" w:hAnsi="맑은 고딕" w:eastAsia="맑은 고딕"/>
          <w:b w:val="0"/>
          <w:sz w:val="20"/>
        </w:rPr>
        <w:t>- 폐지 결정 검토 보고서</w:t>
      </w:r>
    </w:p>
    <w:p>
      <w:pPr>
        <w:spacing w:after="40" w:before="0" w:line="324" w:lineRule="auto"/>
      </w:pPr>
    </w:p>
    <w:p>
      <w:pPr>
        <w:spacing w:after="0" w:before="0" w:line="324" w:lineRule="auto"/>
        <w:ind w:left="113"/>
      </w:pPr>
      <w:r>
        <w:rPr>
          <w:rFonts w:ascii="맑은 고딕" w:hAnsi="맑은 고딕" w:eastAsia="맑은 고딕"/>
          <w:b/>
          <w:sz w:val="21"/>
        </w:rPr>
        <w:t>[예술정책-3] ∘ 예술인 지원 사업 재편 계획</w:t>
      </w:r>
    </w:p>
    <w:p>
      <w:pPr>
        <w:spacing w:after="0" w:before="0" w:line="324" w:lineRule="auto"/>
        <w:ind w:left="510"/>
      </w:pPr>
      <w:r>
        <w:rPr>
          <w:rFonts w:ascii="맑은 고딕" w:hAnsi="맑은 고딕" w:eastAsia="맑은 고딕"/>
          <w:b w:val="0"/>
          <w:sz w:val="20"/>
        </w:rPr>
        <w:t>- 대체 지원사업 목록, 대상·예산(2027)</w:t>
      </w:r>
    </w:p>
    <w:p>
      <w:pPr>
        <w:spacing w:after="0" w:before="0" w:line="324" w:lineRule="auto"/>
        <w:ind w:left="510"/>
      </w:pPr>
      <w:r>
        <w:rPr>
          <w:rFonts w:ascii="맑은 고딕" w:hAnsi="맑은 고딕" w:eastAsia="맑은 고딕"/>
          <w:b w:val="0"/>
          <w:sz w:val="20"/>
        </w:rPr>
        <w:t>- 예술계 의견수렴 결과</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