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종교협력과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종교협력과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종교문화시설 건립(193억)과 전통사찰 보수(99.7억) 등 시설 지원 비중이 크다. 종교별 배분 형평성, 준공 후 도민 개방, 전통사찰 일제잔재 정비(추진 중)가 점검 대상이다.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종교시설 건립 지원 형평성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종교문화시설 건립에 193억(국·도·시군·자부담)이 투입되는데, 종교별·시군별 배분 기준은 무엇이고 최근 5년 누적 지원 현황은 어떻습니까?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종교협력-1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건립 시설의 공공성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도비로 지은 종교문화시설이 준공 후 도민에게 실제로 개방되고 있습니까? 협약상 개방 의무 위반 시 환수 규정과 점검 실적은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종교협력-1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전통사찰 일제잔재 정비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작년에 요구한 전통사찰 일제잔재 정비(일본식 담장·석축 등)는 평가항목 반영을 검토 중이라고 했는데, 현재 진척과 대상 사찰 조사 결과는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처리-14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처리-14(추진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종교협력-2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2027 세계청년대회(WYD) 지원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2027년 가톨릭 세계청년대회 대비 지원협의체는 구성됐습니까? 도의 역할과 예산 규모는 어떻게 됩니까?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건의-4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건의-4(추진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종교협력-3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[종교협력-1] ∘ 종교문화시설 건립 지원 현황(최근 5년)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시설명, 종교, 시군, 총사업비·도비, 선정 기준·심사 결과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준공 후 개방 실적 및 협약 이행 점검 결과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[종교협력-2] ∘ 전통사찰 보수정비·방재시스템 지원 현황(최근 3년)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사찰별 지원 내역, 일제잔재 조사 결과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방재시스템 유지보수 점검 결과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[종교협력-3] ∘ 2027 세계청년대회(WYD) 지원 계획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협의체 구성·회의록, 분야별 지원 계획 및 소요 예산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