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콘텐츠산업과 질의서(안)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행정사무감사 · 작성 2026. 10. 19.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color w:val="0B3A63"/>
          <w:sz w:val="30"/>
        </w:rPr>
        <w:t>콘텐츠산업과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쟁점 요약</w:t>
      </w:r>
    </w:p>
    <w:p>
      <w:pPr>
        <w:spacing w:after="120" w:before="0" w:line="324" w:lineRule="auto"/>
        <w:ind w:left="227"/>
      </w:pPr>
      <w:r>
        <w:rPr>
          <w:rFonts w:ascii="맑은 고딕" w:hAnsi="맑은 고딕" w:eastAsia="맑은 고딕"/>
          <w:b w:val="0"/>
          <w:sz w:val="21"/>
        </w:rPr>
        <w:t>경기콘텐츠진흥원 인건비 결손으로 임금체불 위기, DMZ영화제 도비 21% 감액(의결 전 축소)이 올해 핵심 쟁점이다. 게임산업 담당부서 이원화(미래성장산업국), IP 융복합 클러스터 공정 지연도 점검 대상이다.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질의</w:t>
      </w: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1. 【중점】 </w:t>
      </w:r>
      <w:r>
        <w:rPr>
          <w:rFonts w:ascii="맑은 고딕" w:hAnsi="맑은 고딕" w:eastAsia="맑은 고딕"/>
          <w:b/>
          <w:sz w:val="21"/>
        </w:rPr>
        <w:t>콘진원 인건비 결손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경기콘텐츠진흥원 미래산업본부 직원 30명의 인건비가 본예산에 8개월분만 편성된 경위는 무엇입니까? 본예산 편성 단계에서 누가 어떻게 검토했고, 임금체불을 막을 대책은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노조 기자회견(9.15), 도 “증액 동의 어렵다”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콘텐츠-1, 공통-4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2. 【중점】 </w:t>
      </w:r>
      <w:r>
        <w:rPr>
          <w:rFonts w:ascii="맑은 고딕" w:hAnsi="맑은 고딕" w:eastAsia="맑은 고딕"/>
          <w:b/>
          <w:sz w:val="21"/>
        </w:rPr>
        <w:t>DMZ영화제 의결 전 감액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DMZ영화제 도비 6.53억 감액은 추경 의결(9.18) 전에 이미 영화제(9.10~16)에 반영돼 개막식 축소, 다큐로드 취소 등이 이뤄졌습니다. 의회 의결 전에 사업 축소를 통보한 근거는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이대한·이종춘 의원 지적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콘텐츠-2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게임산업 담당 일원화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게임산업이 미래성장산업국에 남아 콘진원 사업이 두 국으로 나뉘어 있습니다. 작년에 문체국 이관을 추진하겠다고 했는데 조직개편 협의는 어디까지 진행됐습니까?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처리-17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처리-17(추진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콘텐츠-3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IP 융복합 콘텐츠 클러스터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고양 IP 융복합 콘텐츠 클러스터(286.6억)의 공정률이 12%인데 2027년 말 준공이 가능합니까? 운영 주체와 연간 운영비는 확정됐습니까?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콘텐츠-4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5. </w:t>
      </w:r>
      <w:r>
        <w:rPr>
          <w:rFonts w:ascii="맑은 고딕" w:hAnsi="맑은 고딕" w:eastAsia="맑은 고딕"/>
          <w:b/>
          <w:sz w:val="21"/>
        </w:rPr>
        <w:t>웹툰페어·인디시네마 지속성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작년 요구한 웹툰페어 재원 안정화와 경기인디시네마관 지속 운영은 어떻게 반영됐습니까?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처리-18, 건의-6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처리-18(추진 중), 건의-6(추진 중)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6. </w:t>
      </w:r>
      <w:r>
        <w:rPr>
          <w:rFonts w:ascii="맑은 고딕" w:hAnsi="맑은 고딕" w:eastAsia="맑은 고딕"/>
          <w:b/>
          <w:sz w:val="21"/>
        </w:rPr>
        <w:t>웹툰페어 성과 확대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2026 경기국제웹툰페어가 B2B 전환 첫해 2,280만 달러 수출상담(전년대비 430만 달러 증가)이라는 역대 최대 성과를 냈습니다. 성과를 이끈 요인은 무엇이며, 이를 내년도에 어떻게 확대·발전시킬 계획입니까?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2026.9.22~23 다수 보도(역대 최대 실적)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7. </w:t>
      </w:r>
      <w:r>
        <w:rPr>
          <w:rFonts w:ascii="맑은 고딕" w:hAnsi="맑은 고딕" w:eastAsia="맑은 고딕"/>
          <w:b/>
          <w:sz w:val="21"/>
        </w:rPr>
        <w:t>도내 국제영화제 지원체계(다년도 지원)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부천시정연구원 포럼에서 국제영화제 지원을 다년도 지원제와 독립 정책영역으로 바꾸자는 제안이 나왔습니다. 경기도는 DMZ국제다큐영화제와 부천국제판타스틱영화제 등 도내 국제영화제에 어떤 기준으로 도비를 지원하고 있으며, 해마다 금액이 바뀌는 단년도 방식 대신 성과평가에 연동한 다년도 협약을 검토한 적이 있습니까?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웹이코노미 2026.10.1 ‘부천시정연구원, 국제영화제 지원제도 대전환 방향 제시’(부천 미래정책포럼 2026), DMZ영화제 도비 21.1% 감액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콘텐츠-5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8. </w:t>
      </w:r>
      <w:r>
        <w:rPr>
          <w:rFonts w:ascii="맑은 고딕" w:hAnsi="맑은 고딕" w:eastAsia="맑은 고딕"/>
          <w:b/>
          <w:sz w:val="21"/>
        </w:rPr>
        <w:t>도 제작지원 콘텐츠의 저작권·수익배분 조건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넷플릭스가 국내 매출의 81%를 본사로 보내 K-콘텐츠 수익배분 논란이 커지고 있습니다. 도와 경기콘텐츠진흥원이 제작비를 지원한 콘텐츠는 저작권과 수익배분을 어떻게 정하고 있습니까? 플랫폼에 IP가 귀속되는 계약이 몇 건이고, 지원금 회수나 수익 공유 조항을 두고 있습니까?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넷플릭스 K-콘텐츠 수익배분 논란 보도(2026.10.15)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콘텐츠-6</w:t>
      </w:r>
    </w:p>
    <w:p>
      <w:pPr>
        <w:spacing w:after="60" w:before="0" w:line="324" w:lineRule="auto"/>
      </w:pP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자료요구</w:t>
      </w: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[콘텐츠-1] ∘ 경기콘텐츠진흥원 2026년 인건비 편성·집행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본부별 인원·월 인건비, 본예산 편성 개월 수, 부족액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편성 당시 검토 문서(예산 요구서·조정 내역)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추경 요구 내역 및 도 협의 결과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[콘텐츠-2] ∘ DMZ국제다큐멘터리영화제 감액 관련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감액 결정·통보 공문(일자), 영화제 측 조정 내역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취소·축소 프로그램 및 계약 해지 비용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최근 3년 관람객·만족도 비교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[콘텐츠-3] ∘ 게임산업 업무 이관 협의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관련 부서 협의 공문·회의록, 조직개편안 반영 여부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[콘텐츠-4] ∘ IP 융복합 콘텐츠 클러스터 추진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공정률·예산 집행, 공정 지연 사유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운영 주체·운영비 계획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[콘텐츠-5] ∘ 도내 국제영화제 도비 지원 현황(2022~2027 계획)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영화제별 도비·국비·시군비 연도별 금액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지원 기준·성과평가 방식, 협약 기간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[콘텐츠-6] ∘ 도 지원 콘텐츠의 저작권·수익배분 조건 (2024~2026. 10.)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제작지원 사업별 협약서상 저작권 귀속과 수익배분 조항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플랫폼(OTT 등)에 IP가 귀속된 사업 건수와 지원금 규모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수익 발생 시 도·진흥원 환수 또는 재투자 실적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창작자 권리 보호를 위한 표준계약서 사용 여부와 점검 결과</w:t>
      </w:r>
    </w:p>
    <w:p>
      <w:pPr>
        <w:spacing w:after="4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