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한국도자재단 질의서(안)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행정사무감사 · 작성 2026. 10. 19.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color w:val="0B3A63"/>
          <w:sz w:val="30"/>
        </w:rPr>
        <w:t>한국도자재단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쟁점 요약</w:t>
      </w:r>
    </w:p>
    <w:p>
      <w:pPr>
        <w:spacing w:after="120" w:before="0" w:line="324" w:lineRule="auto"/>
        <w:ind w:left="227"/>
      </w:pPr>
      <w:r>
        <w:rPr>
          <w:rFonts w:ascii="맑은 고딕" w:hAnsi="맑은 고딕" w:eastAsia="맑은 고딕"/>
          <w:b w:val="0"/>
          <w:sz w:val="21"/>
        </w:rPr>
        <w:t>2차 추경에서 인건비 12억이 감액돼 산하기관 중 최대이고, 이사장은 공석이다. 제13회 경기도자비엔날레(9.18~11.1)가 행감 기간과 겹치고, 기본재산 운용 방식 전환(특정금전신탁 87.5%)도 점검 대상이다.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질의</w:t>
      </w: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1. 【중점】 </w:t>
      </w:r>
      <w:r>
        <w:rPr>
          <w:rFonts w:ascii="맑은 고딕" w:hAnsi="맑은 고딕" w:eastAsia="맑은 고딕"/>
          <w:b/>
          <w:sz w:val="21"/>
        </w:rPr>
        <w:t>인건비 12억 감액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인건비 12억 원이 감액됐는데, 과다 편성 때문입니까, 결원 때문입니까? 정원 115명이 모두 채워진 상태에서 12억이 남는 이유는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유경현 의원 지적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공통-4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2. </w:t>
      </w:r>
      <w:r>
        <w:rPr>
          <w:rFonts w:ascii="맑은 고딕" w:hAnsi="맑은 고딕" w:eastAsia="맑은 고딕"/>
          <w:b/>
          <w:sz w:val="21"/>
        </w:rPr>
        <w:t>이사장 공석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이사장이 공석인 사유와 선임 일정은 무엇입니까? 공석 기간 이사회 운영은 적법했습니까?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공통-13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비엔날레 성과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2026 경기도자비엔날레(43억)의 관람객 목표, 유료 수입, 경제효과 산출 방식은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도자재단-1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기본재산 운용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기본재산을 정기예금에서 특정금전신탁 중심(87.5%)으로 바꾸는 이유와 원금 손실 위험 관리 방안은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도자재단-2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5. 【중점】 </w:t>
      </w:r>
      <w:r>
        <w:rPr>
          <w:rFonts w:ascii="맑은 고딕" w:hAnsi="맑은 고딕" w:eastAsia="맑은 고딕"/>
          <w:b/>
          <w:sz w:val="21"/>
        </w:rPr>
        <w:t>직원 비위 징계 처분의 적정성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재단 직원 비위에 대한 처분이 '제 식구 감싸기'라는 지적이 행감에서 나왔습니다. 최근 3년 징계 요구 건별로 요구 수위와 실제 처분이 어떻게 달랐는지, 감경한 사유는 무엇인지 설명해 주십시오. 인사위원회 구성에 외부위원은 몇 명이고, 재심에서 수위가 낮아진 사례는 몇 건입니까?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2026.10.17 행감 지적 보도(최만식 의원)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도자재단-3</w:t>
      </w:r>
    </w:p>
    <w:p>
      <w:pPr>
        <w:spacing w:after="60" w:before="0" w:line="324" w:lineRule="auto"/>
      </w:pP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자료요구</w:t>
      </w: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[도자재단-1] ∘ 2026 경기도자비엔날레 추진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예산 집행, 관람객(유료·무료) 실적, 경제효과 산출 근거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[도자재단-2] ∘ 기본재산 운용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상품별 금액·금리·만기, 운용 전환 의결 문서, 위험관리 기준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[도자재단-3] ∘ 최근 3년 임직원 비위·징계 처분 내역 (2024~2026. 10.)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사건별 비위 유형, 징계 요구 수위와 실제 처분, 감경·가중 사유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인사위원회·재심위원회 구성(외부위원 포함)과 회의록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재심에서 처분이 변경된 사례와 사유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비위 발생 부서의 후속 관리 조치(인사 조치, 교육, 제도 개선)</w:t>
      </w:r>
    </w:p>
    <w:p>
      <w:pPr>
        <w:spacing w:after="4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