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경기도수원월드컵경기장관리재단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02.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경기도수원월드컵경기장관리재단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업무추진비를 8년간 반복 부적정 집행해 6월 도 감사에서 ‘기관경고’를 받았고, 예식장 임대 입찰 공정성 논란(가처분 기각)과 작년 위·수탁 계약 공정성 시정요구(추진 중)가 연결된다. 우만테크노밸리(2.7조) 개발과 대체주차장, 경영평가 ‘마’등급·5년 연속 적자도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업추비 기관경고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업무추진비를 8년간 반복 위반해 기관경고를 받았습니다. 위반 유형과 금액, 환수·징계 결과는 무엇이고, 수차례 지적에도 고쳐지지 않은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6.25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월드컵재단-1, 공통-7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임대·위수탁 계약 공정성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예식장 임대 입찰 논란과 작년 위·수탁 계약 공정성 시정요구에 대해, 재계약 기준과 임대료 산정 근거(감정평가)를 제시해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공통-9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우만테크노밸리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경기장 주차부지 79,585㎡ 개발에서 재단의 지분·수익 배분은 어떻게 되고, 사라지는 주차 1,200면의 대체주차장 건립비는 누가 부담합니까?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월드컵재단-2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경영평가·적자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경영평가 ‘마’등급, 5년 연속 적자에 대한 자구책의 이행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처리-3(추진 중), 처리-1(추진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공통-16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[월드컵재단-1] ∘ 업무추진비 기관경고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도 감사 결과서, 위반 내역(연도·유형·금액), 환수·징계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재발방지 대책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[월드컵재단-2] ∘ 우만테크노밸리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- 5자 협약서, 마스터플랜 용역 과업, 재단 지분·수익 구조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대체주차장 계획·비용 분담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