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10. 02.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9. </w:t>
      </w:r>
      <w:r>
        <w:rPr>
          <w:rFonts w:ascii="맑은 고딕" w:hAnsi="맑은 고딕" w:eastAsia="맑은 고딕"/>
          <w:b/>
          <w:sz w:val="21"/>
        </w:rPr>
        <w:t>2026 청년문화예술패스 미사용분 활용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인천시는 2026년 청년문화예술패스 미발급·미사용분을 활용해 1,648명에게 1인 15만 원을 추가 발급했습니다. 경기도의 2026년 청년문화예술패스 발급률과 사용률은 얼마이고, 연말까지 남는 예산을 추가 발급 등으로 활용할 계획이 있습니까?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인천시 청년문화예술패스 1,648명 추가 발급(경향신문 등 2026.9.30), 경기 2026년 117.9억·74,930명 발급(B2)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