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종교협력과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종교협력과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종교문화시설 건립(193억)과 전통사찰 보수(99.7억) 등 시설 지원 비중이 크다. 종교별 배분 형평성, 준공 후 도민 개방, 전통사찰 일제잔재 정비(추진 중)가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종교시설 건립 지원 형평성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종교문화시설 건립에 193억(국·도·시군·자부담)이 투입되는데, 종교별·시군별 배분 기준은 무엇이고 최근 5년 누적 지원 현황은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건립 시설의 공공성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도비로 지은 종교문화시설이 준공 후 도민에게 실제로 개방되고 있습니까? 협약상 개방 의무 위반 시 환수 규정과 점검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전통사찰 일제잔재 정비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작년에 요구한 전통사찰 일제잔재 정비(일본식 담장·석축 등)는 평가항목 반영을 검토 중이라고 했는데, 현재 진척과 대상 사찰 조사 결과는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2027 세계청년대회(WYD) 지원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2027년 가톨릭 세계청년대회 대비 지원협의체는 구성됐습니까? 도의 역할과 예산 규모는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건의-4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[종교협력-1] ∘ 종교문화시설 건립 지원 현황(최근 5년)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시설명, 종교, 시군, 총사업비·도비, 선정 기준·심사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준공 후 개방 실적 및 협약 이행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[종교협력-2] ∘ 전통사찰 보수정비·방재시스템 지원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사찰별 지원 내역, 일제잔재 조사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방재시스템 유지보수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[종교협력-3] ∘ 2027 세계청년대회(WYD) 지원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협의체 구성·회의록, 분야별 지원 계획 및 소요 예산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