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콘텐츠산업과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콘텐츠산업과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경기콘텐츠진흥원 인건비 결손으로 임금체불 위기, DMZ영화제 도비 21% 감액(의결 전 축소)이 올해 핵심 쟁점이다. 게임산업 담당부서 이원화(미래성장산업국), IP 융복합 클러스터 공정 지연도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콘진원 인건비 결손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경기콘텐츠진흥원 미래산업본부 직원 30명의 인건비가 본예산에 8개월분만 편성된 경위는 무엇입니까? 본예산 편성 단계에서 누가 어떻게 검토했고, 임금체불을 막을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기자회견(9.15), 도 “증액 동의 어렵다”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DMZ영화제 의결 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DMZ영화제 도비 6.53억 감액은 추경 의결(9.18) 전에 이미 영화제(9.10~16)에 반영돼 개막식 축소, 다큐로드 취소 등이 이뤄졌습니다. 의회 의결 전에 사업 축소를 통보한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이대한·이종춘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게임산업 담당 일원화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게임산업이 미래성장산업국에 남아 콘진원 사업이 두 국으로 나뉘어 있습니다. 작년에 문체국 이관을 추진하겠다고 했는데 조직개편 협의는 어디까지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IP 융복합 콘텐츠 클러스터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IP 융복합 콘텐츠 클러스터(286.6억)의 공정률이 12%인데 2027년 말 준공이 가능합니까? 운영 주체와 연간 운영비는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웹툰페어·인디시네마 지속성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웹툰페어 재원 안정화와 경기인디시네마관 지속 운영은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처리-18, 건의-6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처리-18(추진 중), 건의-6(추진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웹툰페어 성과 확대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경기국제웹툰페어가 B2B 전환 첫해 2,280만 달러 수출상담(전년대비 430만 달러 증가)이라는 역대 최대 성과를 냈습니다. 성과를 이끈 요인은 무엇이며, 이를 내년도에 어떻게 확대·발전시킬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2026.9.22~23 다수 보도(역대 최대 실적)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도내 국제영화제 지원체계(다년도 지원)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부천시정연구원 포럼에서 국제영화제 지원을 다년도 지원제와 독립 정책영역으로 바꾸자는 제안이 나왔습니다. 경기도는 DMZ국제다큐영화제와 부천국제판타스틱영화제 등 도내 국제영화제에 어떤 기준으로 도비를 지원하고 있으며, 해마다 금액이 바뀌는 단년도 방식 대신 성과평가에 연동한 다년도 협약을 검토한 적이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웹이코노미 2026.10.1 ‘부천시정연구원, 국제영화제 지원제도 대전환 방향 제시’(부천 미래정책포럼 2026), DMZ영화제 도비 21.1% 감액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콘텐츠-5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[콘텐츠-1] ∘ 경기콘텐츠진흥원 2026년 인건비 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인원·월 인건비, 본예산 편성 개월 수, 부족액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당시 검토 문서(예산 요구서·조정 내역)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추경 요구 내역 및 도 협의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[콘텐츠-2] ∘ DMZ국제다큐멘터리영화제 감액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감액 결정·통보 공문(일자), 영화제 측 조정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취소·축소 프로그램 및 계약 해지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관람객·만족도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[콘텐츠-3] ∘ 게임산업 업무 이관 협의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관련 부서 협의 공문·회의록, 조직개편안 반영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[콘텐츠-4] ∘ IP 융복합 콘텐츠 클러스터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공정률·예산 집행, 공정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운영 주체·운영비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[콘텐츠-5] ∘ 도내 국제영화제 도비 지원 현황(2022~2027 계획)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영화제별 도비·국비·시군비 연도별 금액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지원 기준·성과평가 방식, 협약 기간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