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경기도수원월드컵경기장관리재단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경기도수원월드컵경기장관리재단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업무추진비를 8년간 반복 부적정 집행해 6월 도 감사에서 ‘기관경고’를 받았고, 예식장 임대 입찰 공정성 논란(가처분 기각)과 작년 위·수탁 계약 공정성 시정요구(추진 중)가 연결된다. 우만테크노밸리(2.7조) 개발과 대체주차장, 경영평가 ‘마’등급·5년 연속 적자도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업추비 기관경고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업무추진비를 8년간 반복 위반해 기관경고를 받았습니다. 위반 유형과 금액, 환수·징계 결과는 무엇이고, 수차례 지적에도 고쳐지지 않은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6.25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월드컵재단-1,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임대·위수탁 계약 공정성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예식장 임대 입찰 논란과 작년 위·수탁 계약 공정성 시정요구에 대해, 재계약 기준과 임대료 산정 근거(감정평가)를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공통-9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우만테크노밸리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경기장 주차부지 79,585㎡ 개발에서 재단의 지분·수익 배분은 어떻게 되고, 사라지는 주차 1,200면의 대체주차장 건립비는 누가 부담합니까?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경영평가·적자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경영평가 ‘마’등급, 5년 연속 적자에 대한 자구책의 이행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처리-3(추진 중), 처리-1(추진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공통-16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[월드컵재단-1] ∘ 업무추진비 기관경고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결과서, 위반 내역(연도·유형·금액), 환수·징계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재발방지 대책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[월드컵재단-2] ∘ 우만테크노밸리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- 5자 협약서, 마스터플랜 용역 과업, 재단 지분·수익 구조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대체주차장 계획·비용 분담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