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문화체육관광국 (총괄)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01.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문화체육관광국 (총괄)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재정위기로 2차 추경에서 문화·체육·관광 예산 536억(8.8%)이 우선 감액됐고, 예술인·체육인 기회소득 폐지, 산하기관 인건비 과부족(콘진원 결손 vs 타 기관 감액), 2027년 시군 보조사업 도비 30% 상한 방침이 겹쳤다. 2025 행감 지적 167건 중 111건이 여전히 ‘추진 중’이다.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2차 추경 감액 기준과 절차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2차 추경에서 문화체육관광국 예산이 536억 원 감액됐는데, 사업별 감액 기준은 무엇이었고 소관 상임위와 사전 협의는 어떻게 이뤄졌습니까? 의회 의결 전에 이미 사업을 축소·중단한 사례는 몇 건입니까?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문체위 “사전협의 없이 500억 이상 삭감” 질타, DMZ영화제는 폐막 후 추경 의결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기회소득 폐지 결정의 근거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예술인·체육인 기회소득을 하반기부터 중단하면서 “현금지원과 창작·체육활동의 상관성이 검증되지 않았다”고 했는데, 그 판단의 근거가 된 분석 자료는 무엇입니까? 2025 행감에서 요구한 성과평가 용역 결과가 나오기 전에 폐지한 이유는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처리-24(성과평가 개편) 추진 중 상태에서 폐지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출연기관 인건비 관리 기준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같은 추경에서 경기콘텐츠진흥원은 인건비 4개월분이 빠져 임금체불 위기이고, 도자재단(12억)·아트센터(9.14억)·장애인체육회(6억)·체육회(3.5억)는 인건비가 감액됐습니다. 국은 출연기관 인건비를 어떤 기준(정원·현원)으로 편성·점검합니까?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유경현 의원 “인건비 과부족, 도가 책임 있게 관리해야”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2027 도비 30% 상한의 영향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2027년 시군 보조사업 도비 지원율을 30%로 제한하면 공립박물관(40%), 공공체육시설 등 이미 약정한 계속사업의 도비는 어떻게 됩니까? 영향받는 사업 목록과 약정액을 제출해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평택박물관 도비 55억 감액 사례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2025 지적사항 이행률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행정사무감사 167건 중 111건이 ‘추진 중’입니다. 국 차원에서 이행 점검은 언제, 어떻게 합니까? 1년이 지나도록 완료되지 않은 건의 공통 원인은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체육진흥과 9건 모두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중), 시정-3(추진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자립형 운영모델과 도민 부담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출연금 의존도 89.2%를 이유로 시설 이용료 현실화를 추진한다는데, 대상 시설·요금 인상 폭·취약계층 감면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건의-1(공공기관 자생력 강화)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건의-1(추진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7. </w:t>
      </w:r>
      <w:r>
        <w:rPr>
          <w:rFonts w:ascii="맑은 고딕" w:hAnsi="맑은 고딕" w:eastAsia="맑은 고딕"/>
          <w:b/>
          <w:sz w:val="21"/>
        </w:rPr>
        <w:t>문화예산 비중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문화·체육·관광 예산 비중이 도 예산의 1.6%로 최근 5년 최저이고, 작년 행감의 예산 증액 요구(처리-11)도 추진 중입니다. 2027년 본예산 편성 방향은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1월 문화예술 예산 827억 삭감 확정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처리-2(추진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[문체국-1] ∘ 문화체육관광국 세출예산 연도별 비교(2022~2026, 추경 포함)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부서별·정책사업별 본예산·추경·최종예산, 도 전체 대비 비율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타 광역시도(서울 등 상위 3곳) 문화예산 비중 비교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[문체국-2] ∘ 기회소득(예술인·체육인) 폐지 결정 관련 자료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폐지 검토 보고서·결재 문서, 관련 회의록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성과평가·정책효과 분석 용역 결과(중간보고 포함)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시군 협의 공문 및 시군별 2차분 지급 여부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[문체국-3] ∘ 출연기관별 2026년 인건비 편성 기준 및 과부족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기관별 인건비 본예산·추경·집행 전망, 부족·잉여액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편성 기준(정원/현원) 및 국의 사전 점검 내역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[문체국-4] ∘ 2027년 시군 보조사업 도비 지원율 조정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대상 사업 목록, 현행·변경 지원율, 시군 영향액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기약정 계속사업 처리 방안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[문체국-5] ∘ 문화재정 효율화 T/F 운영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T/F 구성·회의록, 사업 구조조정 목록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시설 이용료 현실화 대상·인상안·감면 대책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