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종교협력과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01.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종교협력과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종교문화시설 건립(193억)과 전통사찰 보수(99.7억) 등 시설 지원 비중이 크다. 종교별 배분 형평성, 준공 후 도민 개방, 전통사찰 일제잔재 정비(추진 중)가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종교시설 건립 지원 형평성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종교문화시설 건립에 193억(국·도·시군·자부담)이 투입되는데, 종교별·시군별 배분 기준은 무엇이고 최근 5년 누적 지원 현황은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건립 시설의 공공성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도비로 지은 종교문화시설이 준공 후 도민에게 실제로 개방되고 있습니까? 협약상 개방 의무 위반 시 환수 규정과 점검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전통사찰 일제잔재 정비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작년에 요구한 전통사찰 일제잔재 정비(일본식 담장·석축 등)는 평가항목 반영을 검토 중이라고 했는데, 현재 진척과 대상 사찰 조사 결과는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2027 세계청년대회(WYD) 지원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2027년 가톨릭 세계청년대회 대비 지원협의체는 구성됐습니까? 도의 역할과 예산 규모는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건의-4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종교협력-3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[종교협력-1] ∘ 종교문화시설 건립 지원 현황(최근 5년)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시설명, 종교, 시군, 총사업비·도비, 선정 기준·심사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준공 후 개방 실적 및 협약 이행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[종교협력-2] ∘ 전통사찰 보수정비·방재시스템 지원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사찰별 지원 내역, 일제잔재 조사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방재시스템 유지보수 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[종교협력-3] ∘ 2027 세계청년대회(WYD) 지원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협의체 구성·회의록, 분야별 지원 계획 및 소요 예산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