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콘텐츠산업과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10. 01.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콘텐츠산업과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경기콘텐츠진흥원 인건비 결손으로 임금체불 위기, DMZ영화제 도비 21% 감액(의결 전 축소)이 올해 핵심 쟁점이다. 게임산업 담당부서 이원화(미래성장산업국), IP 융복합 클러스터 공정 지연도 점검 대상이다.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콘진원 인건비 결손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경기콘텐츠진흥원 미래산업본부 직원 30명의 인건비가 본예산에 8개월분만 편성된 경위는 무엇입니까? 본예산 편성 단계에서 누가 어떻게 검토했고, 임금체불을 막을 대책은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노조 기자회견(9.15), 도 “증액 동의 어렵다”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콘텐츠-1, 공통-4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DMZ영화제 의결 전 감액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DMZ영화제 도비 6.53억 감액은 추경 의결(9.18) 전에 이미 영화제(9.10~16)에 반영돼 개막식 축소, 다큐로드 취소 등이 이뤄졌습니다. 의회 의결 전에 사업 축소를 통보한 근거는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이대한·이종춘 의원 지적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콘텐츠-2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게임산업 담당 일원화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게임산업이 미래성장산업국에 남아 콘진원 사업이 두 국으로 나뉘어 있습니다. 작년에 문체국 이관을 추진하겠다고 했는데 조직개편 협의는 어디까지 진행됐습니까?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처리-17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처리-17(추진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콘텐츠-3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IP 융복합 콘텐츠 클러스터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고양 IP 융복합 콘텐츠 클러스터(286.6억)의 공정률이 12%인데 2027년 말 준공이 가능합니까? 운영 주체와 연간 운영비는 확정됐습니까?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콘텐츠-4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웹툰페어·인디시네마 지속성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요구한 웹툰페어 재원 안정화와 경기인디시네마관 지속 운영은 어떻게 반영됐습니까?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처리-18, 건의-6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처리-18(추진 중), 건의-6(추진 중)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6. </w:t>
      </w:r>
      <w:r>
        <w:rPr>
          <w:rFonts w:ascii="맑은 고딕" w:hAnsi="맑은 고딕" w:eastAsia="맑은 고딕"/>
          <w:b/>
          <w:sz w:val="21"/>
        </w:rPr>
        <w:t>웹툰페어 성과 확대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2026 경기국제웹툰페어가 B2B 전환 첫해 2,280만 달러 수출상담(전년대비 430만 달러 증가)이라는 역대 최대 성과를 냈습니다. 성과를 이끈 요인은 무엇이며, 이를 내년도에 어떻게 확대·발전시킬 계획입니까?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2026.9.22~23 다수 보도(역대 최대 실적)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[콘텐츠-1] ∘ 경기콘텐츠진흥원 2026년 인건비 편성·집행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본부별 인원·월 인건비, 본예산 편성 개월 수, 부족액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편성 당시 검토 문서(예산 요구서·조정 내역)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추경 요구 내역 및 도 협의 결과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[콘텐츠-2] ∘ DMZ국제다큐멘터리영화제 감액 관련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감액 결정·통보 공문(일자), 영화제 측 조정 내역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취소·축소 프로그램 및 계약 해지 비용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최근 3년 관람객·만족도 비교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[콘텐츠-3] ∘ 게임산업 업무 이관 협의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관련 부서 협의 공문·회의록, 조직개편안 반영 여부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[콘텐츠-4] ∘ IP 융복합 콘텐츠 클러스터 추진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공정률·예산 집행, 공정 지연 사유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운영 주체·운영비 계획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