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경기도수원월드컵경기장관리재단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경기도수원월드컵경기장관리재단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업무추진비를 8년간 반복 부적정 집행해 6월 도 감사에서 ‘기관경고’를 받았고, 예식장 임대 입찰 공정성 논란(가처분 기각)과 작년 위·수탁 계약 공정성 시정요구(추진 중)가 연결된다. 우만테크노밸리(2.7조) 개발과 대체주차장, 경영평가 ‘마’등급·5년 연속 적자도 쟁점이다.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업추비 기관경고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업무추진비를 8년간 반복 위반해 기관경고를 받았습니다. 위반 유형과 금액, 환수·징계 결과는 무엇이고, 수차례 지적에도 고쳐지지 않은 이유는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6.25 보도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월드컵재단-1, 공통-7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임대·위수탁 계약 공정성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예식장 임대 입찰 논란과 작년 위·수탁 계약 공정성 시정요구에 대해, 재계약 기준과 임대료 산정 근거(감정평가)를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시정-1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시정-1(추진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공통-9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우만테크노밸리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경기장 주차부지 79,585㎡ 개발에서 재단의 지분·수익 배분은 어떻게 되고, 사라지는 주차 1,200면의 대체주차장 건립비는 누가 부담합니까?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월드컵재단-2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경영평가·적자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작년 경영평가 ‘마’등급, 5년 연속 적자에 대한 자구책의 이행 실적은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처리-3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처리-3(추진 중), 처리-1(추진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[월드컵재단-1] ∘ 업무추진비 기관경고 관련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도 감사 결과서, 위반 내역(연도·유형·금액), 환수·징계 결과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재발방지 대책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[월드컵재단-2] ∘ 우만테크노밸리 추진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- 5자 협약서, 마스터플랜 용역 과업, 재단 지분·수익 구조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대체주차장 계획·비용 분담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