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예술정책과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예술정책과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예술인 기회소득은 연 150만 원을 안내하고 신청받은 뒤 75만 원만 지급하고 2차분을 중단했다(도·시군비 28.59억 감액). 경기민예총 서명·기자회견 등 예술계 반발이 크고, 성과평가 없이 폐지를 결정한 절차가 쟁점이다. 부서 예산은 국 내 최대 폭(△402억) 감소했다.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신청 후 지원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 기회소득은 5~6월에 연 150만 원으로 공고·접수한 뒤 절반만 지급했습니다. 이미 선정된 약 1만 1천 명에게 축소 사실을 언제, 어떻게 안내했습니까? 공고문의 “재정상황에 따라 변경” 문구가 추가된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경기민예총 648명 서명, “신뢰 저버림”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성과평가 없는 폐지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행감에서 요구한 기회소득 성과평가 전면 개편과 종단적 영향평가는 9월 용역 착수로 미뤄졌습니다. 평가 결과도 없이 폐지를 결정한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처리-22·24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처리-22(추진 중), 처리-24(추진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예술인 지원 대안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기회소득을 폐지한다면 창작 지원이나 사회보장 연계 등 대체 지원 방안은 무엇이고, 2027년 예산은 얼마나 반영합니까?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부서 예산 급감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예술정책과 예산이 1,161억에서 759억으로 402억(34.6%) 줄었습니다. 감소 사업별 사유와 예술인·도민에게 미치는 영향은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시군 매칭과 지역 격차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등 일부 시군은 기회소득에 참여하지 않아 예술인이 많은데도 혜택이 없었습니다. 시군 참여 여부에 따른 격차를 어떻게 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“예술인 제일 많은데 혜택 0원” 고양 보도(5월)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[예술정책-1] ∘ 예술인 기회소득 추진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예산(본예산·추경 증감)·집행액, 시군별 신청·선정·지급자 수와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공고문(최초·변경) 및 선정자 안내 문자·공문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미참여 시군 및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[예술정책-2] ∘ 예술인 기회소득 성과평가·정책효과 분석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연구용역 과업지시서, 착수·중간보고, 만족도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결정 검토 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[예술정책-3] ∘ 예술인 지원 사업 재편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 지원사업 목록, 대상·예산(2027)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예술계 의견수렴 결과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