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콘텐츠산업과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웹툰페어 성과 확대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경기국제웹툰페어가 B2B 전환 첫해 2,280만 달러 수출상담(전년대비 430만 달러 증가)이라는 역대 최대 성과를 냈습니다. 성과를 이끈 요인은 무엇이며, 이를 내년도에 어떻게 확대·발전시킬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다수 보도(역대 최대 실적)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