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경기도수원월드컵경기장관리재단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18.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경기도수원월드컵경기장관리재단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업무추진비를 8년간 반복 부적정 집행해 6월 도 감사에서 ‘기관경고’를 받았고, 예식장 임대 입찰 공정성 논란(가처분 기각)과 작년 위·수탁 계약 공정성 시정요구(추진 중)가 연결된다. 우만테크노밸리(2.7조) 개발과 대체주차장, 경영평가 ‘마’등급·5년 연속 적자도 쟁점이다.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업추비 기관경고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업무추진비를 8년간 반복 위반해 기관경고를 받았습니다. 위반 유형과 금액, 환수·징계 결과는 무엇이고, 수차례 지적에도 고쳐지지 않은 이유는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6.25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월드컵재단-1, 공통-7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임대·위수탁 계약 공정성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예식장 임대 입찰 논란과 작년 위·수탁 계약 공정성 시정요구에 대해, 재계약 기준과 임대료 산정 근거(감정평가)를 제시해 주십시오.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시정-1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시정-1(추진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공통-9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3. 【중점】 </w:t>
      </w:r>
      <w:r>
        <w:rPr>
          <w:rFonts w:ascii="맑은 고딕" w:hAnsi="맑은 고딕" w:eastAsia="맑은 고딕"/>
          <w:b/>
          <w:sz w:val="21"/>
        </w:rPr>
        <w:t>우만테크노밸리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경기장 주차부지 79,585㎡ 개발에서 재단의 지분·수익 배분은 어떻게 되고, 사라지는 주차 1,200면의 대체주차장 건립비는 누가 부담합니까?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월드컵재단-2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경영평가·적자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경영평가 ‘마’등급, 5년 연속 적자에 대한 자구책의 이행 실적은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처리-3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처리-3(추진 중), 처리-1(추진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공통-16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[월드컵재단-1] ∘ 업무추진비 기관경고 관련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도 감사 결과서, 위반 내역(연도·유형·금액), 환수·징계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재발방지 대책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[월드컵재단-2] ∘ 우만테크노밸리 추진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- 5자 협약서, 마스터플랜 용역 과업, 재단 지분·수익 구조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대체주차장 계획·비용 분담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