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예술정책과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예술정책과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예술인 기회소득은 연 150만 원을 안내하고 신청받은 뒤 75만 원만 지급하고 2차분을 중단했다(도·시군비 28.59억 감액). 경기민예총 서명·기자회견 등 예술계 반발이 크고, 성과평가 없이 폐지를 결정한 절차가 쟁점이다. 부서 예산은 국 내 최대 폭(△402억) 감소했다.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신청 후 지원 축소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 기회소득은 5~6월에 연 150만 원으로 공고·접수한 뒤 절반만 지급했습니다. 이미 선정된 약 1만 1천 명에게 축소 사실을 언제, 어떻게 안내했습니까? 공고문의 “재정상황에 따라 변경” 문구가 추가된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경기민예총 648명 서명, “신뢰 저버림”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성과평가 없는 폐지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행감에서 요구한 기회소득 성과평가 전면 개편과 종단적 영향평가는 9월 용역 착수로 미뤄졌습니다. 평가 결과도 없이 폐지를 결정한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처리-22·24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처리-22(추진 중), 처리-24(추진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예술인 지원 대안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기회소득을 폐지한다면 창작 지원이나 사회보장 연계 등 대체 지원 방안은 무엇이고, 2027년 예산은 얼마나 반영합니까?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부서 예산 급감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예술정책과 예산이 1,161억에서 759억으로 402억(34.6%) 줄었습니다. 감소 사업별 사유와 예술인·도민에게 미치는 영향은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시군 매칭과 지역 격차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등 일부 시군은 기회소득에 참여하지 않아 예술인이 많은데도 혜택이 없었습니다. 시군 참여 여부에 따른 격차를 어떻게 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“예술인 제일 많은데 혜택 0원” 고양 보도(5월)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[예술정책-1] ∘ 예술인 기회소득 추진 현황(2023~2026.9.)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예산(본예산·추경 증감)·집행액, 시군별 신청·선정·지급자 수와 금액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- 2026년 공고문(최초·변경) 및 선정자 안내 문자·공문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미참여 시군 및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[예술정책-2] ∘ 예술인 기회소득 성과평가·정책효과 분석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연구용역 과업지시서, 착수·중간보고, 만족도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결정 검토 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[예술정책-3] ∘ 예술인 지원 사업 재편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 지원사업 목록, 대상·예산(2027)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예술계 의견수렴 결과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