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종교협력과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18.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종교협력과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종교문화시설 건립(193억)과 전통사찰 보수(99.7억) 등 시설 지원 비중이 크다. 종교별 배분 형평성, 준공 후 도민 개방, 전통사찰 일제잔재 정비(추진 중)가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종교시설 건립 지원 형평성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종교문화시설 건립에 193억(국·도·시군·자부담)이 투입되는데, 종교별·시군별 배분 기준은 무엇이고 최근 5년 누적 지원 현황은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건립 시설의 공공성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도비로 지은 종교문화시설이 준공 후 도민에게 실제로 개방되고 있습니까? 협약상 개방 의무 위반 시 환수 규정과 점검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전통사찰 일제잔재 정비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작년에 요구한 전통사찰 일제잔재 정비(일본식 담장·석축 등)는 평가항목 반영을 검토 중이라고 했는데, 현재 진척과 대상 사찰 조사 결과는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2027 세계청년대회(WYD) 지원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2027년 가톨릭 세계청년대회 대비 지원협의체는 구성됐습니까? 도의 역할과 예산 규모는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건의-4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[종교협력-1] ∘ 종교문화시설 건립 지원 현황(최근 5년)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시설명, 종교, 시군, 총사업비·도비, 선정 기준·심사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준공 후 개방 실적 및 협약 이행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[종교협력-2] ∘ 전통사찰 보수정비·방재시스템 지원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사찰별 지원 내역, 일제잔재 조사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방재시스템 유지보수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[종교협력-3] ∘ 2027 세계청년대회(WYD) 지원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협의체 구성·회의록, 분야별 지원 계획 및 소요 예산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