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콘텐츠산업과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콘텐츠산업과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경기콘텐츠진흥원 인건비 결손으로 임금체불 위기, DMZ영화제 도비 21% 감액(의결 전 축소)이 올해 핵심 쟁점이다. 게임산업 담당부서 이원화(미래성장산업국), IP 융복합 클러스터 공정 지연도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콘진원 인건비 결손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경기콘텐츠진흥원 미래산업본부 직원 30명의 인건비가 본예산에 8개월분만 편성된 경위는 무엇입니까? 본예산 편성 단계에서 누가 어떻게 검토했고, 임금체불을 막을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노조 기자회견(9.15), 도 “증액 동의 어렵다”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DMZ영화제 의결 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DMZ영화제 도비 6.53억 감액은 추경 의결(9.18) 전에 이미 영화제(9.10~16)에 반영돼 개막식 축소, 다큐로드 취소 등이 이뤄졌습니다. 의회 의결 전에 사업 축소를 통보한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이대한·이종춘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게임산업 담당 일원화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게임산업이 미래성장산업국에 남아 콘진원 사업이 두 국으로 나뉘어 있습니다. 작년에 문체국 이관을 추진하겠다고 했는데 조직개편 협의는 어디까지 진행됐습니까?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IP 융복합 콘텐츠 클러스터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IP 융복합 콘텐츠 클러스터(286.6억)의 공정률이 12%인데 2027년 말 준공이 가능합니까? 운영 주체와 연간 운영비는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웹툰페어·인디시네마 지속성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웹툰페어 재원 안정화와 경기인디시네마관 지속 운영은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처리-18, 건의-6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처리-18(추진 중), 건의-6(추진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[콘텐츠-1] ∘ 경기콘텐츠진흥원 2026년 인건비 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인원·월 인건비, 본예산 편성 개월 수, 부족액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당시 검토 문서(예산 요구서·조정 내역)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추경 요구 내역 및 도 협의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[콘텐츠-2] ∘ DMZ국제다큐멘터리영화제 감액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감액 결정·통보 공문(일자), 영화제 측 조정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취소·축소 프로그램 및 계약 해지 비용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관람객·만족도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[콘텐츠-3] ∘ 게임산업 업무 이관 협의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관련 부서 협의 공문·회의록, 조직개편안 반영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[콘텐츠-4] ∘ IP 융복합 콘텐츠 클러스터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공정률·예산 집행, 공정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운영 주체·운영비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