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한국도자재단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한국도자재단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인건비 12억이 감액돼 산하기관 중 최대이고, 이사장은 공석이다. 제13회 경기도자비엔날레(9.18~11.1)가 행감 기간과 겹치고, 기본재산 운용 방식 전환(특정금전신탁 87.5%)도 점검 대상이다.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인건비 12억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인건비 12억 원이 감액됐는데, 과다 편성 때문입니까, 결원 때문입니까? 정원 115명이 모두 채워진 상태에서 12억이 남는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이사장 공석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이사장이 공석인 사유와 선임 일정은 무엇입니까? 공석 기간 이사회 운영은 적법했습니까?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비엔날레 성과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2026 경기도자비엔날레(43억)의 관람객 목표, 유료 수입, 경제효과 산출 방식은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기본재산 운용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기본재산을 정기예금에서 특정금전신탁 중심(87.5%)으로 바꾸는 이유와 원금 손실 위험 관리 방안은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도자재단-2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[도자재단-1] ∘ 2026 경기도자비엔날레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집행, 관람객(유료·무료) 실적, 경제효과 산출 근거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[도자재단-2] ∘ 기본재산 운용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상품별 금액·금리·만기, 운용 전환 의결 문서, 위험관리 기준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