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경기도수원월드컵경기장관리재단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경기도수원월드컵경기장관리재단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업무추진비를 8년간 반복 부적정 집행해 6월 도 감사에서 ‘기관경고’를 받았고, 예식장 임대 입찰 공정성 논란(가처분 기각)과 작년 위·수탁 계약 공정성 시정요구(추진 중)가 연결된다. 우만테크노밸리(2.7조) 개발과 대체주차장, 경영평가 ‘마’등급·5년 연속 적자도 쟁점이다.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업추비 기관경고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업무추진비를 8년간 반복 위반해 기관경고를 받았습니다. 위반 유형과 금액, 환수·징계 결과는 무엇이고, 수차례 지적에도 고쳐지지 않은 이유는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6.25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월드컵재단-1, 공통-7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임대·위수탁 계약 공정성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예식장 임대 입찰 논란과 작년 위·수탁 계약 공정성 시정요구에 대해, 재계약 기준과 임대료 산정 근거(감정평가)를 제시해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시정-1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공통-9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우만테크노밸리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경기장 주차부지 79,585㎡ 개발에서 재단의 지분·수익 배분은 어떻게 되고, 사라지는 주차 1,200면의 대체주차장 건립비는 누가 부담합니까?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월드컵재단-2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경영평가·적자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경영평가 ‘마’등급, 5년 연속 적자에 대한 자구책의 이행 실적은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처리-3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처리-3(추진 중), 처리-1(추진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공통-16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[월드컵재단-1] ∘ 업무추진비 기관경고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도 감사 결과서, 위반 내역(연도·유형·금액), 환수·징계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재발방지 대책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[월드컵재단-2] ∘ 우만테크노밸리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- 5자 협약서, 마스터플랜 용역 과업, 재단 지분·수익 구조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대체주차장 계획·비용 분담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