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종교협력과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28.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종교협력과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종교문화시설 건립(193억)과 전통사찰 보수(99.7억) 등 시설 지원 비중이 크다. 종교별 배분 형평성, 준공 후 도민 개방, 전통사찰 일제잔재 정비(추진 중)가 점검 대상이다.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1. </w:t>
      </w:r>
      <w:r>
        <w:rPr>
          <w:rFonts w:ascii="맑은 고딕" w:hAnsi="맑은 고딕" w:eastAsia="맑은 고딕"/>
          <w:b/>
          <w:sz w:val="21"/>
        </w:rPr>
        <w:t>종교시설 건립 지원 형평성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종교문화시설 건립에 193억(국·도·시군·자부담)이 투입되는데, 종교별·시군별 배분 기준은 무엇이고 최근 5년 누적 지원 현황은 어떻습니까?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종교협력-1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2. </w:t>
      </w:r>
      <w:r>
        <w:rPr>
          <w:rFonts w:ascii="맑은 고딕" w:hAnsi="맑은 고딕" w:eastAsia="맑은 고딕"/>
          <w:b/>
          <w:sz w:val="21"/>
        </w:rPr>
        <w:t>건립 시설의 공공성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도비로 지은 종교문화시설이 준공 후 도민에게 실제로 개방되고 있습니까? 협약상 개방 의무 위반 시 환수 규정과 점검 실적은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종교협력-1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전통사찰 일제잔재 정비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작년에 요구한 전통사찰 일제잔재 정비(일본식 담장·석축 등)는 평가항목 반영을 검토 중이라고 했는데, 현재 진척과 대상 사찰 조사 결과는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처리-14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처리-14(추진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종교협력-2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2027 세계청년대회(WYD) 지원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2027년 가톨릭 세계청년대회 대비 지원협의체는 구성됐습니까? 도의 역할과 예산 규모는 어떻게 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건의-4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건의-4(추진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종교협력-3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[종교협력-1] ∘ 종교문화시설 건립 지원 현황(최근 5년)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시설명, 종교, 시군, 총사업비·도비, 선정 기준·심사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준공 후 개방 실적 및 협약 이행 점검 결과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[종교협력-2] ∘ 전통사찰 보수정비·방재시스템 지원 현황(최근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사찰별 지원 내역, 일제잔재 조사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방재시스템 유지보수 점검 결과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[종교협력-3] ∘ 2027 세계청년대회(WYD) 지원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협의체 구성·회의록, 분야별 지원 계획 및 소요 예산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