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한국도자재단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한국도자재단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인건비 12억이 감액돼 산하기관 중 최대이고, 이사장은 공석이다. 제13회 경기도자비엔날레(9.18~11.1)가 행감 기간과 겹치고, 기본재산 운용 방식 전환(특정금전신탁 87.5%)도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인건비 12억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인건비 12억 원이 감액됐는데, 과다 편성 때문입니까, 결원 때문입니까? 정원 115명이 모두 채워진 상태에서 12억이 남는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이사장 공석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이사장이 공석인 사유와 선임 일정은 무엇입니까? 공석 기간 이사회 운영은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비엔날레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경기도자비엔날레(43억)의 관람객 목표, 유료 수입, 경제효과 산출 방식은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기본재산 운용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기본재산을 정기예금에서 특정금전신탁 중심(87.5%)으로 바꾸는 이유와 원금 손실 위험 관리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도자재단-2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[도자재단-1] ∘ 2026 경기도자비엔날레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집행, 관람객(유료·무료) 실적, 경제효과 산출 근거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[도자재단-2] ∘ 기본재산 운용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상품별 금액·금리·만기, 운용 전환 의결 문서, 위험관리 기준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