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b/>
          <w:bCs/>
          <w:sz w:val="32"/>
          <w:szCs w:val="32"/>
        </w:rPr>
        <w:t xml:space="preserve">MIMIC-IV Demo — EDA: Procedures &amp; Input/Output Events</w:t>
      </w:r>
    </w:p>
    <w:p>
      <w:pPr>
        <w:spacing w:after="60" w:before="60"/>
      </w:pPr>
      <w:r>
        <w:rPr>
          <w:i/>
          <w:iCs/>
          <w:sz w:val="22"/>
          <w:szCs w:val="22"/>
        </w:rPr>
        <w:t xml:space="preserve">Prepared by: Hansen Yonatan (s4178876)  ·  Category: Procedures and input/output events  ·  6 tables, 142,941 rows total</w:t>
      </w:r>
    </w:p>
    <w:p>
      <w:pPr>
        <w:spacing w:after="60" w:before="60"/>
      </w:pPr>
      <w:r>
        <w:rPr>
          <w:sz w:val="22"/>
          <w:szCs w:val="22"/>
        </w:rPr>
        <w:t xml:space="preserve">Scope: procedures_icd, d_icd_procedures, procedureevents, inputevents, ingredientevents, outputevents (MIMIC-IV Clinical Database Demo v2.2 — 100 patients, 275 admissions, 140 ICU stays).</w:t>
      </w:r>
    </w:p>
    <w:p>
      <w:pPr>
        <w:pStyle w:val="Heading1"/>
        <w:spacing w:after="150" w:before="300"/>
      </w:pPr>
      <w:r>
        <w:rPr>
          <w:b/>
          <w:bCs/>
        </w:rPr>
        <w:t xml:space="preserve">1. Summary</w:t>
      </w:r>
    </w:p>
    <w:tbl>
      <w:tblPr>
        <w:tblW w:type="dxa" w:w="948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000"/>
        <w:gridCol w:w="3000"/>
        <w:gridCol w:w="3182"/>
      </w:tblGrid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Rows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Key findings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procedures_icd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722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Coded procedures per admission — now mixed ICD-9 (401) and ICD-10 (321)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Joins must use (icd_code, icd_version) composite key; 34% of codes carry leading zeros → string dtype mandatory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d_icd_procedures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85,257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Procedure code dictionary (3,888 ICD-9 + 81,369 ICD-10)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 codes exist in both versions — code-only joins silently mis-map them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procedureevents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1,468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Timestamped bedside procedures — now covers ALL 100 patients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ORIGINALAMOUNT / ORIGINALRATE columns are UPPERCASE (schema quirk); location 76% null; caregiver_id 16.5% null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inputevents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20,404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Unified IV inputs — the CareVue/MetaVision split is gone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Zero negative amounts, zero end&lt;start rows (far cleaner than III); mEq vs mEq. unit variant persists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ingredientevents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25,728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NEW table: decomposes each input into ingredients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Largest table in the domain; 100% of its orderids link back to inputevents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outputevents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9,362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Patient outputs, slimmed to 9 columns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Unit chaos of MIMIC-III is fixed — all rows uniformly 'ml'; no negatives</w:t>
            </w:r>
          </w:p>
        </w:tc>
      </w:tr>
    </w:tbl>
    <w:p>
      <w:pPr>
        <w:spacing w:after="60" w:before="60"/>
      </w:pPr>
      <w:r>
        <w:rPr>
          <w:b/>
          <w:bCs/>
          <w:sz w:val="22"/>
          <w:szCs w:val="22"/>
        </w:rPr>
        <w:t xml:space="preserve">Good news: </w:t>
      </w:r>
      <w:r>
        <w:rPr>
          <w:sz w:val="22"/>
          <w:szCs w:val="22"/>
        </w:rPr>
        <w:t xml:space="preserve">referential integrity is perfect — zero orphan subject_id / hadm_id / stay_id across all six tables, every itemid resolves in d_items, and the composite ICD join has zero unmatched codes. Timestamps span 2110–2201 (the expected de-identification shift). MIMIC-IV is substantially cleaner than MIMIC-III in this domain.</w:t>
      </w:r>
    </w:p>
    <w:p>
      <w:pPr>
        <w:pStyle w:val="Heading1"/>
        <w:spacing w:after="150" w:before="300"/>
      </w:pPr>
      <w:r>
        <w:rPr>
          <w:b/>
          <w:bCs/>
        </w:rPr>
        <w:t xml:space="preserve">2. Per-table findings</w:t>
      </w:r>
    </w:p>
    <w:p>
      <w:pPr>
        <w:pStyle w:val="Heading2"/>
        <w:spacing w:after="120" w:before="250"/>
      </w:pPr>
      <w:r>
        <w:rPr>
          <w:b/>
          <w:bCs/>
        </w:rPr>
        <w:t xml:space="preserve">2.1 procedures_icd (722 rows × 6 cols)</w:t>
      </w:r>
    </w:p>
    <w:p>
      <w:pPr>
        <w:spacing w:after="60" w:before="60"/>
      </w:pPr>
      <w:r>
        <w:rPr>
          <w:sz w:val="22"/>
          <w:szCs w:val="22"/>
        </w:rPr>
        <w:t xml:space="preserve">Coded procedures for 92 of 100 patients. New in MIMIC-IV: a chartdate column (date only, no time) and the icd_version column.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sz w:val="22"/>
          <w:szCs w:val="22"/>
        </w:rPr>
        <w:t xml:space="preserve">CRITICAL — dual coding systems. </w:t>
      </w:r>
      <w:r>
        <w:rPr>
          <w:sz w:val="22"/>
          <w:szCs w:val="22"/>
        </w:rPr>
        <w:t xml:space="preserve">401 rows are ICD-9 and 321 are ICD-10. All joins to the dictionary must use the composite key (icd_code, icd_version): 6 codes (e.g., '093', '067') exist in both versions with different meanings, so a code-only join silently mis-maps them.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Leading zeros persist: 34% of codes start with '0' (lengths 3–4 for ICD-9, 7 for ICD-10) — icd_code must be ingested as STRING, exactly as in MIMIC-III.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chartdate is a date without time — analyses needing precise timing should use procedureevents instead.</w:t>
      </w:r>
    </w:p>
    <w:p>
      <w:pPr>
        <w:pStyle w:val="Heading2"/>
        <w:spacing w:after="120" w:before="250"/>
      </w:pPr>
      <w:r>
        <w:rPr>
          <w:b/>
          <w:bCs/>
        </w:rPr>
        <w:t xml:space="preserve">2.2 d_icd_procedures (85,257 rows × 3 cols)</w:t>
      </w:r>
    </w:p>
    <w:p>
      <w:pPr>
        <w:spacing w:after="60" w:before="60"/>
      </w:pPr>
      <w:r>
        <w:rPr>
          <w:sz w:val="22"/>
          <w:szCs w:val="22"/>
        </w:rPr>
        <w:t xml:space="preserve">Dictionary is ~22× larger than MIMIC-III's because it now embeds the full ICD-10-PCS catalogue (81,369 entries) alongside ICD-9 (3,888). Composite-key join coverage from procedures_icd is 100% — an improvement over MIMIC-III, which had 3 unmapped codes. Static reference table; load once with icd_code as string.</w:t>
      </w:r>
    </w:p>
    <w:p>
      <w:pPr>
        <w:pStyle w:val="Heading2"/>
        <w:spacing w:after="120" w:before="250"/>
      </w:pPr>
      <w:r>
        <w:rPr>
          <w:b/>
          <w:bCs/>
        </w:rPr>
        <w:t xml:space="preserve">2.3 procedureevents (1,468 rows × 22 cols)</w:t>
      </w:r>
    </w:p>
    <w:p>
      <w:pPr>
        <w:spacing w:after="60" w:before="60"/>
      </w:pPr>
      <w:r>
        <w:rPr>
          <w:sz w:val="22"/>
          <w:szCs w:val="22"/>
        </w:rPr>
        <w:t xml:space="preserve">Bedside procedures now cover ALL 100 patients — the MIMIC-III gap (CareVue-era patients having no procedure events) is gone. Status: 1,441 FinishedRunning, 26 Stopped, 1 Paused; no end&lt;start anomalies.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Schema quirk to fix in Bronze: ORIGINALAMOUNT and ORIGINALRATE are the only UPPERCASE column names in the entire domain — normalise all column names to lowercase on ingestion.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location/locationcategory 76% null; valueuom 52.5% null; caregiver_id null in 16.5% of rows (new provider-linkage column) — document rather than impute.</w:t>
      </w:r>
    </w:p>
    <w:p>
      <w:pPr>
        <w:pStyle w:val="Heading2"/>
        <w:spacing w:after="120" w:before="250"/>
      </w:pPr>
      <w:r>
        <w:rPr>
          <w:b/>
          <w:bCs/>
        </w:rPr>
        <w:t xml:space="preserve">2.4 inputevents (20,404 rows × 26 cols)</w:t>
      </w:r>
    </w:p>
    <w:p>
      <w:pPr>
        <w:spacing w:after="60" w:before="60"/>
      </w:pPr>
      <w:r>
        <w:rPr>
          <w:sz w:val="22"/>
          <w:szCs w:val="22"/>
        </w:rPr>
        <w:t xml:space="preserve">The headline improvement: one unified table replaces MIMIC-III's CareVue/MetaVision split. 99 of 100 patients covered. Data quality is markedly better: zero negative amounts, zero end&lt;start intervals, and no cancelled-row artefacts.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statusdescription is richer than III (FinishedRunning 13,080; ChangeDose/Rate 5,543; Stopped 982; Paused 787; Bolus 12) — retain it; it encodes infusion lifecycle useful for dosing analyses.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Unit variants remain: 'mEq' (412) vs 'mEq.' (105) — the one MIMIC-III unit issue that survived. Keep a unit-standardisation map in Silver (ml, mg, dose, units, mcg, grams, mEq, mmol).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rate/rateuom null in 45.9% — structural (bolus vs continuous), treat as expected missing; 31 zero-amount rows need a keep-or-filter rule.</w:t>
      </w:r>
    </w:p>
    <w:p>
      <w:pPr>
        <w:pStyle w:val="Heading2"/>
        <w:spacing w:after="120" w:before="250"/>
      </w:pPr>
      <w:r>
        <w:rPr>
          <w:b/>
          <w:bCs/>
        </w:rPr>
        <w:t xml:space="preserve">2.5 ingredientevents (25,728 rows × 17 cols) — NEW TABLE</w:t>
      </w:r>
    </w:p>
    <w:p>
      <w:pPr>
        <w:spacing w:after="60" w:before="60"/>
      </w:pPr>
      <w:r>
        <w:rPr>
          <w:sz w:val="22"/>
          <w:szCs w:val="22"/>
        </w:rPr>
        <w:t xml:space="preserve">New in MIMIC-IV and the largest table in this domain: it decomposes every input into constituent ingredients (e.g., the water content of each infusion), enabling precise fluid-balance calculations. 100% of its orderids link to inputevents orders, so it behaves as a child table of inputevents.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Recommend ingesting alongside inputevents with the same schema conventions; fluid-balance Gold metrics should prefer ingredientevents totals over raw inputevents amounts.</w:t>
      </w:r>
    </w:p>
    <w:p>
      <w:pPr>
        <w:pStyle w:val="Heading2"/>
        <w:spacing w:after="120" w:before="250"/>
      </w:pPr>
      <w:r>
        <w:rPr>
          <w:b/>
          <w:bCs/>
        </w:rPr>
        <w:t xml:space="preserve">2.6 outputevents (9,362 rows × 9 cols)</w:t>
      </w:r>
    </w:p>
    <w:p>
      <w:pPr>
        <w:spacing w:after="60" w:before="60"/>
      </w:pPr>
      <w:r>
        <w:rPr>
          <w:sz w:val="22"/>
          <w:szCs w:val="22"/>
        </w:rPr>
        <w:t xml:space="preserve">Slimmed from 13 to 9 columns. The MIMIC-III unit chaos ('ml' vs 'mL') is fully resolved — every row is uniformly 'ml'. No negative values; 320 zero-value rows (same keep-or-filter decision); value max 8,000 mL with p99 = 1,000 — plausible clinical range, far tamer than III's 28,000 mL outlier.</w:t>
      </w:r>
    </w:p>
    <w:p>
      <w:pPr>
        <w:pStyle w:val="Heading1"/>
        <w:spacing w:after="150" w:before="300"/>
      </w:pPr>
      <w:r>
        <w:rPr>
          <w:b/>
          <w:bCs/>
        </w:rPr>
        <w:t xml:space="preserve">3. What changed from our MIMIC-III EDA</w:t>
      </w:r>
    </w:p>
    <w:p>
      <w:pPr>
        <w:spacing w:after="60" w:before="60"/>
      </w:pPr>
      <w:r>
        <w:rPr>
          <w:sz w:val="22"/>
          <w:szCs w:val="22"/>
        </w:rPr>
        <w:t xml:space="preserve">The team pivoted from MIMIC-III to MIMIC-IV; this section maps each previous finding to its status in the new dataset, so prior preprocessing decisions can be kept, dropped, or adapted deliberately.</w:t>
      </w:r>
    </w:p>
    <w:tbl>
      <w:tblPr>
        <w:tblW w:type="dxa" w:w="948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940"/>
        <w:gridCol w:w="2942"/>
      </w:tblGrid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MIMIC-III finding (previous EDA)</w:t>
            </w:r>
          </w:p>
        </w:tc>
        <w:tc>
          <w:tcPr>
            <w:tcW w:type="dxa" w:w="2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Status in MIMIC-IV</w:t>
            </w:r>
          </w:p>
        </w:tc>
        <w:tc>
          <w:tcPr>
            <w:tcW w:type="dxa" w:w="2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CareVue vs MetaVision split (2 schemas, disjoint itemids)</w:t>
            </w:r>
          </w:p>
        </w:tc>
        <w:tc>
          <w:tcPr>
            <w:tcW w:type="dxa" w:w="2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RESOLVED — single unified inputevents</w:t>
            </w:r>
          </w:p>
        </w:tc>
        <w:tc>
          <w:tcPr>
            <w:tcW w:type="dxa" w:w="2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Harmonisation layer no longer needed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'ml' vs 'mL' unit chaos in outputevents</w:t>
            </w:r>
          </w:p>
        </w:tc>
        <w:tc>
          <w:tcPr>
            <w:tcW w:type="dxa" w:w="2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RESOLVED — uniformly 'ml'</w:t>
            </w:r>
          </w:p>
        </w:tc>
        <w:tc>
          <w:tcPr>
            <w:tcW w:type="dxa" w:w="2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 standardisation required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'mEq' vs 'mEq.' variant in inputevents</w:t>
            </w:r>
          </w:p>
        </w:tc>
        <w:tc>
          <w:tcPr>
            <w:tcW w:type="dxa" w:w="2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STILL PRESENT (412 vs 105 rows)</w:t>
            </w:r>
          </w:p>
        </w:tc>
        <w:tc>
          <w:tcPr>
            <w:tcW w:type="dxa" w:w="2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Keep unit-mapping step in Silver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ICD-9 leading zeros → string dtype required</w:t>
            </w:r>
          </w:p>
        </w:tc>
        <w:tc>
          <w:tcPr>
            <w:tcW w:type="dxa" w:w="2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STILL CRITICAL (34% of codes)</w:t>
            </w:r>
          </w:p>
        </w:tc>
        <w:tc>
          <w:tcPr>
            <w:tcW w:type="dxa" w:w="2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Ingest icd_code as string in Bronze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ICD-9 only</w:t>
            </w:r>
          </w:p>
        </w:tc>
        <w:tc>
          <w:tcPr>
            <w:tcW w:type="dxa" w:w="2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NEW COMPLEXITY — mixed ICD-9/ICD-10</w:t>
            </w:r>
          </w:p>
        </w:tc>
        <w:tc>
          <w:tcPr>
            <w:tcW w:type="dxa" w:w="2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Composite join on (icd_code, icd_version); consider version harmonisation for Gold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 codes missing from dictionary</w:t>
            </w:r>
          </w:p>
        </w:tc>
        <w:tc>
          <w:tcPr>
            <w:tcW w:type="dxa" w:w="2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RESOLVED — 0 unmatched with composite join</w:t>
            </w:r>
          </w:p>
        </w:tc>
        <w:tc>
          <w:tcPr>
            <w:tcW w:type="dxa" w:w="2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Negative amounts / end&lt;start artefacts (22 rows)</w:t>
            </w:r>
          </w:p>
        </w:tc>
        <w:tc>
          <w:tcPr>
            <w:tcW w:type="dxa" w:w="2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RESOLVED — none present</w:t>
            </w:r>
          </w:p>
        </w:tc>
        <w:tc>
          <w:tcPr>
            <w:tcW w:type="dxa" w:w="2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Cancel-row filter no longer needed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</w:rPr>
        <w:t xml:space="preserve">4. Proposed preprocessing checklist (Bronze/Silver)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sz w:val="22"/>
          <w:szCs w:val="22"/>
        </w:rPr>
        <w:t xml:space="preserve">Ingest icd_code as STRING; join dictionaries on the composite key (icd_code, icd_version).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Normalise all column names to lowercase in Bronze (fixes ORIGINALAMOUNT/ORIGINALRATE).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Cast all *time columns to timestamp and chartdate to date; add derived duration_minutes for interval tables; document the de-identification year shift (2110–2201).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Standardise units in Silver: mEq./mEq merge; maintain a uom mapping table across ml, mg, dose, units, mcg, grams, mmol.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Define the zero-amount/zero-value rule (31 input rows, 320 output rows) once, and apply consistently.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Model ingredientevents as a child of inputevents via orderid; use it as the source of truth for fluid-balance metrics in Gold.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Publish per-table data-quality metrics (row counts Bronze→Silver, % nulls, unit-standardisation counts, ICD version mix) — feeds the &gt;95% quality deliverable in the proposal.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2026-08-26T02:28:17.923Z</dcterms:created>
  <dcterms:modified xsi:type="dcterms:W3CDTF">2026-08-26T02:28:17.936Z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