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sz w:val="32"/>
          <w:szCs w:val="32"/>
        </w:rPr>
        <w:t xml:space="preserve">MIMIC-III Demo — EDA: Procedures &amp; Input/Output Events</w:t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Prepared by: Hansen Yonatan (s4178876)  ·  Category: Procedures and input/output events  ·  6 tables, 60,604 rows total</w:t>
      </w:r>
    </w:p>
    <w:p>
      <w:pPr>
        <w:spacing w:after="60" w:before="60"/>
      </w:pPr>
      <w:r>
        <w:rPr>
          <w:sz w:val="22"/>
          <w:szCs w:val="22"/>
        </w:rPr>
        <w:t xml:space="preserve">Scope: PROCEDURES_ICD, D_ICD_PROCEDURES, PROCEDUREEVENTS_MV, INPUTEVENTS_CV, INPUTEVENTS_MV, OUTPUTEVENTS (MIMIC-III Clinical Database Demo v1.4, 100 patients).</w:t>
      </w:r>
    </w:p>
    <w:p>
      <w:pPr>
        <w:pStyle w:val="Heading1"/>
        <w:spacing w:after="150" w:before="300"/>
      </w:pPr>
      <w:r>
        <w:rPr>
          <w:b/>
          <w:bCs/>
        </w:rPr>
        <w:t xml:space="preserve">1. Summary</w:t>
      </w:r>
    </w:p>
    <w:tbl>
      <w:tblPr>
        <w:tblW w:type="dxa" w:w="948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3100"/>
        <w:gridCol w:w="3182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Rows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Key issues found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PROCEDURES_ICD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Coded (billed) procedures per admission (ICD-9)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ICD-9 codes must be strings (leading zeros); 3 codes missing from dictionary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D_ICD_PROCEDURES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3,882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ICD-9 procedure code dictionary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367 codes have leading zeros; 73 code pairs collide if read as integers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PROCEDUREEVENTS_MV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753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Bedside procedures with timestamps (MetaVision only)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Covers only the 50 MV-era patients; 84–100% null in several columns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INPUTEVENTS_CV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34,799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IV fluids/medication inputs (CareVue system)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28.9% null amounts; charttime only (no duration); legacy free-text-style fields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INPUTEVENTS_MV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13,224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IV inputs (MetaVision system)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negative amounts + end&lt;start rows (all cancelled/rewritten); unit variants (mEq vs mEq.)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OUTPUTEVENTS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11,320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outputs (urine, drains, etc.)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 written two ways: 'ml' (6,167) vs 'mL' (5,106); 3 columns 100% null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Good news first: </w:t>
      </w:r>
      <w:r>
        <w:rPr>
          <w:sz w:val="22"/>
          <w:szCs w:val="22"/>
        </w:rPr>
        <w:t xml:space="preserve">referential integrity is perfect — zero orphan subject_id / hadm_id / icustay_id across all six tables, and every itemid resolves in D_ITEMS. Timestamps span 2102–2202, which is expected: MIMIC shifts all dates into the future for de-identification, and intervals within a patient remain valid.</w:t>
      </w:r>
    </w:p>
    <w:p>
      <w:pPr>
        <w:pStyle w:val="Heading1"/>
        <w:spacing w:after="150" w:before="300"/>
      </w:pPr>
      <w:r>
        <w:rPr>
          <w:b/>
          <w:bCs/>
        </w:rPr>
        <w:t xml:space="preserve">2. Per-table findings</w:t>
      </w:r>
    </w:p>
    <w:p>
      <w:pPr>
        <w:pStyle w:val="Heading2"/>
        <w:spacing w:after="120" w:before="250"/>
      </w:pPr>
      <w:r>
        <w:rPr>
          <w:b/>
          <w:bCs/>
        </w:rPr>
        <w:t xml:space="preserve">2.1 PROCEDURES_ICD (506 rows × 5 cols)</w:t>
      </w:r>
    </w:p>
    <w:p>
      <w:pPr>
        <w:spacing w:after="60" w:before="60"/>
      </w:pPr>
      <w:r>
        <w:rPr>
          <w:sz w:val="22"/>
          <w:szCs w:val="22"/>
        </w:rPr>
        <w:t xml:space="preserve">Columns: row_id, subject_id, hadm_id, seq_num (1–22, procedure priority), icd9_code. Covers 88 patients / 113 admissions. No nulls, no duplicates.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22"/>
          <w:szCs w:val="22"/>
        </w:rPr>
        <w:t xml:space="preserve">CRITICAL — icd9_code must be ingested as STRING. </w:t>
      </w:r>
      <w:r>
        <w:rPr>
          <w:sz w:val="22"/>
          <w:szCs w:val="22"/>
        </w:rPr>
        <w:t xml:space="preserve">The raw CSV contains leading-zero codes (34 rows here; 367 in the dictionary). Read naively as integers, '0101' (cisternal puncture) collapses into '101' (conjunctiva incision) — 73 such collision pairs exist in the dictionary, silently producing wrong clinical joins.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3 codes ('3605', '3601', '458') have no entry in D_ICD_PROCEDURES even with a correct string join — a known MIMIC dictionary gap. Recommend LEFT JOIN + an 'unmapped_code' flag rather than dropping rows.</w:t>
      </w:r>
    </w:p>
    <w:p>
      <w:pPr>
        <w:pStyle w:val="Heading2"/>
        <w:spacing w:after="120" w:before="250"/>
      </w:pPr>
      <w:r>
        <w:rPr>
          <w:b/>
          <w:bCs/>
        </w:rPr>
        <w:t xml:space="preserve">2.2 D_ICD_PROCEDURES (3,882 rows × 4 cols)</w:t>
      </w:r>
    </w:p>
    <w:p>
      <w:pPr>
        <w:spacing w:after="60" w:before="60"/>
      </w:pPr>
      <w:r>
        <w:rPr>
          <w:sz w:val="22"/>
          <w:szCs w:val="22"/>
        </w:rPr>
        <w:t xml:space="preserve">Reference dictionary: icd9_code, short_title, long_title. All 3,882 codes unique when read as strings. Static lookup table — load once to Silver with icd9_code as string; note that ICD-9 procedure codes carry an implicit decimal (e.g., '0066' = 00.66, PTCA), worth exposing as a derived formatted column for readability in Gold.</w:t>
      </w:r>
    </w:p>
    <w:p>
      <w:pPr>
        <w:pStyle w:val="Heading2"/>
        <w:spacing w:after="120" w:before="250"/>
      </w:pPr>
      <w:r>
        <w:rPr>
          <w:b/>
          <w:bCs/>
        </w:rPr>
        <w:t xml:space="preserve">2.3 PROCEDUREEVENTS_MV (753 rows × 25 cols)</w:t>
      </w:r>
    </w:p>
    <w:p>
      <w:pPr>
        <w:spacing w:after="60" w:before="60"/>
      </w:pPr>
      <w:r>
        <w:rPr>
          <w:sz w:val="22"/>
          <w:szCs w:val="22"/>
        </w:rPr>
        <w:t xml:space="preserve">Timestamped bedside procedures with starttime/endtime, itemid, location and order metadata. No end&lt;start anomalies. Status: 723 FinishedRunning, 26 Rewritten, 2 Paused, 2 Stopped.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MetaVision-only table: it covers just the 50 MV-era patients. The 50 CareVue-era patients have coded procedures (PROCEDURES_ICD) but no bedside procedure events — a coverage gap any analysis must state explicitly.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Heavy sparsity: secondaryordercategoryname 100% null; location/locationcategory 84.3% null; comments_* 97–99% null; valueuom 57.6% null. Recommend dropping the 100%-null and comment columns in Silver.</w:t>
      </w:r>
    </w:p>
    <w:p>
      <w:pPr>
        <w:pStyle w:val="Heading2"/>
        <w:spacing w:after="120" w:before="250"/>
      </w:pPr>
      <w:r>
        <w:rPr>
          <w:b/>
          <w:bCs/>
        </w:rPr>
        <w:t xml:space="preserve">2.4 INPUTEVENTS_CV (34,799 rows × 22 cols)</w:t>
      </w:r>
    </w:p>
    <w:p>
      <w:pPr>
        <w:spacing w:after="60" w:before="60"/>
      </w:pPr>
      <w:r>
        <w:rPr>
          <w:sz w:val="22"/>
          <w:szCs w:val="22"/>
        </w:rPr>
        <w:t xml:space="preserve">CareVue inputs for 48 patients, charted as point-in-time charttime (no duration). itemid range 30001–44638.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amount null in 28.9% of rows and rate null in 72.8% — largely structural (an event carries either an amount or a rate, and some charted events carry neither). Handle as 'expected missing', not imputation targets.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1,606 zero-amount rows — decide a rule (keep as explicit zero events vs. filter for intake totals).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stopped column is 97.7% null and uses legacy labels ('Stopped', "D/C'd", 'Restart', 'NotStopd') — normalise or drop.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originalsite 100% null; original* columns are legacy order fields with 27–67% nulls — candidates to drop from Silver unless the team needs order lineage.</w:t>
      </w:r>
    </w:p>
    <w:p>
      <w:pPr>
        <w:pStyle w:val="Heading2"/>
        <w:spacing w:after="120" w:before="250"/>
      </w:pPr>
      <w:r>
        <w:rPr>
          <w:b/>
          <w:bCs/>
        </w:rPr>
        <w:t xml:space="preserve">2.5 INPUTEVENTS_MV (13,224 rows × 31 cols)</w:t>
      </w:r>
    </w:p>
    <w:p>
      <w:pPr>
        <w:spacing w:after="60" w:before="60"/>
      </w:pPr>
      <w:r>
        <w:rPr>
          <w:sz w:val="22"/>
          <w:szCs w:val="22"/>
        </w:rPr>
        <w:t xml:space="preserve">MetaVision inputs for 50 patients with proper starttime/endtime intervals, patientweight, and order lifecycle metadata. itemid range 220862–228359 (disjoint from CV).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All 22 negative-amount rows are also the 22 end&lt;start rows, and every one is statusdescription='Rewritten' with cancelreason 1 or 2 — i.e., cancelled/rewritten order artefacts, not real intake. Filtering cancelreason &gt; 0 (1,744 rows) cleanly removes them.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Unit variants to standardise: 'mEq' vs 'mEq.'; broader unit set than CV (dose, units, grams, mmol) — a unit-mapping table is needed before any volume/dose aggregation.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rate/rateuom null in 44.5% (bolus vs. continuous distinction — structural, keep).</w:t>
      </w:r>
    </w:p>
    <w:p>
      <w:pPr>
        <w:pStyle w:val="Heading2"/>
        <w:spacing w:after="120" w:before="250"/>
      </w:pPr>
      <w:r>
        <w:rPr>
          <w:b/>
          <w:bCs/>
        </w:rPr>
        <w:t xml:space="preserve">2.6 OUTPUTEVENTS (11,320 rows × 13 cols)</w:t>
      </w:r>
    </w:p>
    <w:p>
      <w:pPr>
        <w:spacing w:after="60" w:before="60"/>
      </w:pPr>
      <w:r>
        <w:rPr>
          <w:sz w:val="22"/>
          <w:szCs w:val="22"/>
        </w:rPr>
        <w:t xml:space="preserve">Outputs (urine, drains, emesis, etc.) for both eras, charttime-based. value max 28,000 mL (p99 = 3,000) — extreme values need clinical-plausibility review rather than blind outlier removal.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Unit inconsistency in plain sight: valueuom recorded as 'ml' in 6,167 rows and 'mL' in 5,106 — must be standardised before any aggregation.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stopped, newbottle, iserror are 100% null → drop in Silver. value null in 160 rows (1.4%); one row has null icustay_id.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495 zero-value rows — same keep-or-filter decision as CV inputs.</w:t>
      </w:r>
    </w:p>
    <w:p>
      <w:pPr>
        <w:pStyle w:val="Heading1"/>
        <w:spacing w:after="150" w:before="300"/>
      </w:pPr>
      <w:r>
        <w:rPr>
          <w:b/>
          <w:bCs/>
        </w:rPr>
        <w:t xml:space="preserve">3. Cross-cutting issue: the CareVue / MetaVision split</w:t>
      </w:r>
    </w:p>
    <w:p>
      <w:pPr>
        <w:spacing w:after="60" w:before="60"/>
      </w:pPr>
      <w:r>
        <w:rPr>
          <w:sz w:val="22"/>
          <w:szCs w:val="22"/>
        </w:rPr>
        <w:t xml:space="preserve">The demo cohort divides cleanly into 48 CareVue patients and 50 MetaVision patients with ZERO overlap, disjoint itemid ranges, different schemas (charttime vs start/end intervals) and different column sets; 2 of the 100 patients have no input events at all. Any patient-level intake/output analysis must therefore harmonise the two systems first.</w:t>
      </w:r>
    </w:p>
    <w:p>
      <w:pPr>
        <w:spacing w:after="60" w:before="60"/>
      </w:pPr>
      <w:r>
        <w:rPr>
          <w:sz w:val="22"/>
          <w:szCs w:val="22"/>
        </w:rPr>
        <w:t xml:space="preserve">Recommended approach for Silver: map both tables into one unified INPUT_EVENTS schema — (subject_id, hadm_id, icustay_id, starttime, endtime, itemid, label, amount, amount_uom_std, rate, rate_uom_std, source_system) — where CV rows use charttime as both start and end, itemids resolve through D_ITEMS labels, and units pass through a mapping table. This is also exactly the kind of reusable pattern Cevo calls a solution accelerator.</w:t>
      </w:r>
    </w:p>
    <w:p>
      <w:pPr>
        <w:pStyle w:val="Heading1"/>
        <w:spacing w:after="150" w:before="300"/>
      </w:pPr>
      <w:r>
        <w:rPr>
          <w:b/>
          <w:bCs/>
        </w:rPr>
        <w:t xml:space="preserve">4. Proposed preprocessing checklist (Silver layer)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22"/>
          <w:szCs w:val="22"/>
        </w:rPr>
        <w:t xml:space="preserve">Ingest icd9_code (both tables) and other code-like fields as STRING; never as integers.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Cast all *time columns to timestamp; add derived duration_minutes for MV interval tables; keep shifted years as-is (document the de-identification shift).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Filter cancelled/rewritten artefacts: INPUTEVENTS_MV &amp; PROCEDUREEVENTS_MV where cancelreason &gt; 0 (removes all negative amounts and end&lt;start rows).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Standardise units: ml/mL → mL; mEq./mEq → mEq; build an amountuom/valueuom mapping table covering dose, units, grams, mmol.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Drop 100%-null columns (originalsite; secondaryordercategoryname in PE; stopped/newbottle/iserror in OUTPUTEVENTS) and near-empty comment columns; document each drop.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LEFT JOIN dictionaries (D_ICD_PROCEDURES, D_ITEMS) and flag unmapped codes instead of dropping rows.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Unify CV+MV into one input-events model with a source_system column; state the 2-patient input gap and the CV procedure-events gap in data-coverage docs.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Data-quality metrics to publish per table: row counts Bronze→Silver, % nulls by column, unmapped-code counts, unit-standardisation counts — feeds the &gt;95% quality deliverable in the proposal.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2026-08-23T03:18:39.865Z</dcterms:created>
  <dcterms:modified xsi:type="dcterms:W3CDTF">2026-08-23T03:18:39.878Z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