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507F" w14:textId="15449A5F" w:rsidR="008A5119" w:rsidRPr="0080719A" w:rsidRDefault="00B402C4" w:rsidP="00B402C4">
      <w:pPr>
        <w:jc w:val="center"/>
        <w:rPr>
          <w:rFonts w:ascii="Times New Roman" w:hAnsi="Times New Roman" w:cs="Times New Roman"/>
          <w:szCs w:val="21"/>
        </w:rPr>
      </w:pPr>
      <w:r w:rsidRPr="0080719A">
        <w:rPr>
          <w:rFonts w:ascii="Times New Roman" w:hAnsi="Times New Roman" w:cs="Times New Roman"/>
          <w:szCs w:val="21"/>
        </w:rPr>
        <w:t>Research Plan</w:t>
      </w:r>
    </w:p>
    <w:p w14:paraId="2A4EAC43" w14:textId="2A5E69F1" w:rsidR="0036209D" w:rsidRPr="0080719A" w:rsidRDefault="0036209D" w:rsidP="0036209D">
      <w:pPr>
        <w:rPr>
          <w:rFonts w:ascii="Times New Roman" w:hAnsi="Times New Roman" w:cs="Times New Roman"/>
          <w:szCs w:val="21"/>
        </w:rPr>
      </w:pPr>
      <w:r w:rsidRPr="0080719A">
        <w:rPr>
          <w:rFonts w:ascii="Times New Roman" w:hAnsi="Times New Roman" w:cs="Times New Roman"/>
          <w:szCs w:val="21"/>
        </w:rPr>
        <w:t xml:space="preserve">The AI exposure measure used in this study follows the framework of </w:t>
      </w:r>
      <w:r w:rsidRPr="0080719A">
        <w:rPr>
          <w:rFonts w:ascii="Times New Roman" w:hAnsi="Times New Roman" w:cs="Times New Roman"/>
          <w:szCs w:val="21"/>
        </w:rPr>
        <w:fldChar w:fldCharType="begin"/>
      </w:r>
      <w:r w:rsidRPr="0080719A">
        <w:rPr>
          <w:rFonts w:ascii="Times New Roman" w:hAnsi="Times New Roman" w:cs="Times New Roman"/>
          <w:szCs w:val="21"/>
        </w:rPr>
        <w:instrText xml:space="preserve"> ADDIN EN.CITE &lt;EndNote&gt;&lt;Cite AuthorYear="1"&gt;&lt;Author&gt;Felten&lt;/Author&gt;&lt;Year&gt;2021&lt;/Year&gt;&lt;RecNum&gt;350&lt;/RecNum&gt;&lt;DisplayText&gt;Felten et al. (2021)&lt;/DisplayText&gt;&lt;record&gt;&lt;rec-number&gt;350&lt;/rec-number&gt;&lt;foreign-keys&gt;&lt;key app="EN" db-id="s52rxadvle250ueds5xvzxtu52x5xxz0z2p5" timestamp="1791884251"&gt;350&lt;/key&gt;&lt;/foreign-keys&gt;&lt;ref-type name="Journal Article"&gt;17&lt;/ref-type&gt;&lt;contributors&gt;&lt;authors&gt;&lt;author&gt;Felten, Edward&lt;/author&gt;&lt;author&gt;Raj, Manav&lt;/author&gt;&lt;author&gt;Seamans, Robert&lt;/author&gt;&lt;/authors&gt;&lt;/contributors&gt;&lt;titles&gt;&lt;title&gt;Occupational, industry, and geographic exposure to artificial intelligence: A novel dataset and its potential uses&lt;/title&gt;&lt;secondary-title&gt;Strategic management journal&lt;/secondary-title&gt;&lt;/titles&gt;&lt;periodical&gt;&lt;full-title&gt;Strategic management journal&lt;/full-title&gt;&lt;/periodical&gt;&lt;pages&gt;2195-2217&lt;/pages&gt;&lt;volume&gt;42&lt;/volume&gt;&lt;number&gt;12&lt;/number&gt;&lt;dates&gt;&lt;year&gt;2021&lt;/year&gt;&lt;/dates&gt;&lt;isbn&gt;0143-2095&lt;/isbn&gt;&lt;urls&gt;&lt;/urls&gt;&lt;/record&gt;&lt;/Cite&gt;&lt;/EndNote&gt;</w:instrText>
      </w:r>
      <w:r w:rsidRPr="0080719A">
        <w:rPr>
          <w:rFonts w:ascii="Times New Roman" w:hAnsi="Times New Roman" w:cs="Times New Roman"/>
          <w:szCs w:val="21"/>
        </w:rPr>
        <w:fldChar w:fldCharType="separate"/>
      </w:r>
      <w:r w:rsidRPr="0080719A">
        <w:rPr>
          <w:rFonts w:ascii="Times New Roman" w:hAnsi="Times New Roman" w:cs="Times New Roman"/>
          <w:noProof/>
          <w:szCs w:val="21"/>
        </w:rPr>
        <w:t>Felten et al. (2021)</w:t>
      </w:r>
      <w:r w:rsidRPr="0080719A">
        <w:rPr>
          <w:rFonts w:ascii="Times New Roman" w:hAnsi="Times New Roman" w:cs="Times New Roman"/>
          <w:szCs w:val="21"/>
        </w:rPr>
        <w:fldChar w:fldCharType="end"/>
      </w:r>
      <w:r w:rsidRPr="0080719A">
        <w:rPr>
          <w:rFonts w:ascii="Times New Roman" w:hAnsi="Times New Roman" w:cs="Times New Roman"/>
          <w:szCs w:val="21"/>
        </w:rPr>
        <w:t>. Their approach links AI capabilities to the abilities required in different occupations and aggregates occupational exposure into industry-level AI Industry Exposure (AIIE) scores. I use their published AIIE scores and combine them with annual county-level employment data from the Bureau of Labor Statistics’ Quarterly Census of Employment and Wages (QCEW) for 2021–2024. The employment weights are based on annual average private-sector employment located within each county. This construction adapts the authors’ framework to my sample period.</w:t>
      </w:r>
      <w:r w:rsidRPr="0080719A">
        <w:rPr>
          <w:rFonts w:ascii="Times New Roman" w:hAnsi="Times New Roman" w:cs="Times New Roman"/>
          <w:szCs w:val="21"/>
        </w:rPr>
        <w:t xml:space="preserve"> </w:t>
      </w:r>
      <w:r w:rsidRPr="0080719A">
        <w:rPr>
          <w:rFonts w:ascii="Times New Roman" w:hAnsi="Times New Roman" w:cs="Times New Roman"/>
          <w:szCs w:val="21"/>
        </w:rPr>
        <w:t>I use this dataset because it combines a published framework for measuring potential AI exposure with documented public employment data. Employment weighting accounts for differences in local industry composition, while county identifiers allow the measure to be linked to HMDA applications by year and the county in which the financed property is located. This geographic alignment is useful for examining whether local exposure to AI is associated with young applicants’ access to mortgage credit.</w:t>
      </w:r>
      <w:r w:rsidRPr="0080719A">
        <w:rPr>
          <w:rFonts w:ascii="Times New Roman" w:hAnsi="Times New Roman" w:cs="Times New Roman"/>
          <w:szCs w:val="21"/>
        </w:rPr>
        <w:t xml:space="preserve"> The model is</w:t>
      </w:r>
      <w:r w:rsidRPr="0080719A">
        <w:rPr>
          <w:rFonts w:ascii="Times New Roman" w:hAnsi="Times New Roman" w:cs="Times New Roman"/>
          <w:szCs w:val="21"/>
        </w:rPr>
        <w:t>：</w:t>
      </w:r>
    </w:p>
    <w:p w14:paraId="0AF94AC2" w14:textId="69706C41" w:rsidR="0036209D" w:rsidRPr="0080719A" w:rsidRDefault="0036209D" w:rsidP="0036209D">
      <w:pPr>
        <w:rPr>
          <w:rFonts w:ascii="Times New Roman" w:hAnsi="Times New Roman" w:cs="Times New Roman"/>
          <w:szCs w:val="21"/>
        </w:rPr>
      </w:pPr>
      <m:oMathPara>
        <m:oMath>
          <m:sSubSup>
            <m:sSubSupPr>
              <m:ctrlPr>
                <w:rPr>
                  <w:rFonts w:ascii="Cambria Math" w:hAnsi="Cambria Math" w:cs="Times New Roman"/>
                  <w:i/>
                  <w:szCs w:val="21"/>
                </w:rPr>
              </m:ctrlPr>
            </m:sSubSupPr>
            <m:e>
              <m:r>
                <w:rPr>
                  <w:rFonts w:ascii="Cambria Math" w:hAnsi="Cambria Math" w:cs="Times New Roman"/>
                  <w:szCs w:val="21"/>
                </w:rPr>
                <m:t>AIExposure</m:t>
              </m:r>
            </m:e>
            <m:sub>
              <m:r>
                <w:rPr>
                  <w:rFonts w:ascii="Cambria Math" w:hAnsi="Cambria Math" w:cs="Times New Roman"/>
                  <w:szCs w:val="21"/>
                </w:rPr>
                <m:t>c,t</m:t>
              </m:r>
            </m:sub>
            <m:sup>
              <m:r>
                <w:rPr>
                  <w:rFonts w:ascii="Cambria Math" w:hAnsi="Cambria Math" w:cs="Times New Roman"/>
                  <w:szCs w:val="21"/>
                </w:rPr>
                <m:t>obs</m:t>
              </m:r>
            </m:sup>
          </m:sSubSup>
          <m:r>
            <w:rPr>
              <w:rFonts w:ascii="Cambria Math" w:hAnsi="Cambria Math" w:cs="Times New Roman"/>
              <w:szCs w:val="21"/>
            </w:rPr>
            <m:t>=</m:t>
          </m:r>
          <m:f>
            <m:fPr>
              <m:ctrlPr>
                <w:rPr>
                  <w:rFonts w:ascii="Cambria Math" w:hAnsi="Cambria Math" w:cs="Times New Roman"/>
                  <w:i/>
                  <w:szCs w:val="21"/>
                </w:rPr>
              </m:ctrlPr>
            </m:fPr>
            <m:num>
              <m:nary>
                <m:naryPr>
                  <m:chr m:val="∑"/>
                  <m:limLoc m:val="undOvr"/>
                  <m:supHide m:val="1"/>
                  <m:ctrlPr>
                    <w:rPr>
                      <w:rFonts w:ascii="Cambria Math" w:hAnsi="Cambria Math" w:cs="Times New Roman"/>
                      <w:i/>
                      <w:szCs w:val="21"/>
                    </w:rPr>
                  </m:ctrlPr>
                </m:naryPr>
                <m:sub>
                  <m:r>
                    <w:rPr>
                      <w:rFonts w:ascii="Cambria Math" w:hAnsi="Cambria Math" w:cs="Times New Roman"/>
                      <w:szCs w:val="21"/>
                    </w:rPr>
                    <m:t>g</m:t>
                  </m:r>
                </m:sub>
                <m:sup/>
                <m:e>
                  <m:sSubSup>
                    <m:sSubSupPr>
                      <m:ctrlPr>
                        <w:rPr>
                          <w:rFonts w:ascii="Cambria Math" w:hAnsi="Cambria Math" w:cs="Times New Roman"/>
                          <w:i/>
                          <w:szCs w:val="21"/>
                        </w:rPr>
                      </m:ctrlPr>
                    </m:sSubSupPr>
                    <m:e>
                      <m:r>
                        <w:rPr>
                          <w:rFonts w:ascii="Cambria Math" w:hAnsi="Cambria Math" w:cs="Times New Roman"/>
                          <w:szCs w:val="21"/>
                        </w:rPr>
                        <m:t>E</m:t>
                      </m:r>
                    </m:e>
                    <m:sub>
                      <m:r>
                        <w:rPr>
                          <w:rFonts w:ascii="Cambria Math" w:hAnsi="Cambria Math" w:cs="Times New Roman"/>
                          <w:szCs w:val="21"/>
                        </w:rPr>
                        <m:t>c,g,t</m:t>
                      </m:r>
                    </m:sub>
                    <m:sup>
                      <m:r>
                        <w:rPr>
                          <w:rFonts w:ascii="Cambria Math" w:hAnsi="Cambria Math" w:cs="Times New Roman"/>
                          <w:szCs w:val="21"/>
                        </w:rPr>
                        <m:t>obs</m:t>
                      </m:r>
                    </m:sup>
                  </m:sSubSup>
                </m:e>
              </m:nary>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AIIE</m:t>
                  </m:r>
                </m:e>
                <m:sub>
                  <m:r>
                    <w:rPr>
                      <w:rFonts w:ascii="Cambria Math" w:hAnsi="Cambria Math" w:cs="Times New Roman"/>
                      <w:szCs w:val="21"/>
                    </w:rPr>
                    <m:t>g</m:t>
                  </m:r>
                </m:sub>
                <m:sup>
                  <m:r>
                    <w:rPr>
                      <w:rFonts w:ascii="Cambria Math" w:hAnsi="Cambria Math" w:cs="Times New Roman"/>
                      <w:szCs w:val="21"/>
                    </w:rPr>
                    <m:t>common</m:t>
                  </m:r>
                </m:sup>
              </m:sSubSup>
            </m:num>
            <m:den>
              <m:nary>
                <m:naryPr>
                  <m:chr m:val="∑"/>
                  <m:limLoc m:val="undOvr"/>
                  <m:supHide m:val="1"/>
                  <m:ctrlPr>
                    <w:rPr>
                      <w:rFonts w:ascii="Cambria Math" w:hAnsi="Cambria Math" w:cs="Times New Roman"/>
                      <w:i/>
                      <w:szCs w:val="21"/>
                    </w:rPr>
                  </m:ctrlPr>
                </m:naryPr>
                <m:sub>
                  <m:r>
                    <w:rPr>
                      <w:rFonts w:ascii="Cambria Math" w:hAnsi="Cambria Math" w:cs="Times New Roman"/>
                      <w:szCs w:val="21"/>
                    </w:rPr>
                    <m:t>g</m:t>
                  </m:r>
                </m:sub>
                <m:sup/>
                <m:e>
                  <m:sSubSup>
                    <m:sSubSupPr>
                      <m:ctrlPr>
                        <w:rPr>
                          <w:rFonts w:ascii="Cambria Math" w:hAnsi="Cambria Math" w:cs="Times New Roman"/>
                          <w:i/>
                          <w:szCs w:val="21"/>
                        </w:rPr>
                      </m:ctrlPr>
                    </m:sSubSupPr>
                    <m:e>
                      <m:r>
                        <w:rPr>
                          <w:rFonts w:ascii="Cambria Math" w:hAnsi="Cambria Math" w:cs="Times New Roman"/>
                          <w:szCs w:val="21"/>
                        </w:rPr>
                        <m:t>E</m:t>
                      </m:r>
                    </m:e>
                    <m:sub>
                      <m:r>
                        <w:rPr>
                          <w:rFonts w:ascii="Cambria Math" w:hAnsi="Cambria Math" w:cs="Times New Roman"/>
                          <w:szCs w:val="21"/>
                        </w:rPr>
                        <m:t>c,g,t</m:t>
                      </m:r>
                    </m:sub>
                    <m:sup>
                      <m:r>
                        <w:rPr>
                          <w:rFonts w:ascii="Cambria Math" w:hAnsi="Cambria Math" w:cs="Times New Roman"/>
                          <w:szCs w:val="21"/>
                        </w:rPr>
                        <m:t>obs</m:t>
                      </m:r>
                    </m:sup>
                  </m:sSubSup>
                </m:e>
              </m:nary>
            </m:den>
          </m:f>
        </m:oMath>
      </m:oMathPara>
    </w:p>
    <w:p w14:paraId="195A97A5" w14:textId="1482FC98" w:rsidR="0080719A" w:rsidRPr="0080719A" w:rsidRDefault="0080719A" w:rsidP="0080719A">
      <w:pPr>
        <w:rPr>
          <w:rFonts w:ascii="Times New Roman" w:hAnsi="Times New Roman" w:cs="Times New Roman"/>
          <w:szCs w:val="21"/>
        </w:rPr>
      </w:pPr>
      <w:r w:rsidRPr="0080719A">
        <w:rPr>
          <w:rFonts w:ascii="Times New Roman" w:hAnsi="Times New Roman" w:cs="Times New Roman"/>
          <w:szCs w:val="21"/>
        </w:rPr>
        <w:t xml:space="preserve">where (c) denotes a county, (t) denotes a year, and (g) denotes a common industry group. </w:t>
      </w:r>
      <m:oMath>
        <m:sSubSup>
          <m:sSubSupPr>
            <m:ctrlPr>
              <w:rPr>
                <w:rFonts w:ascii="Cambria Math" w:hAnsi="Cambria Math" w:cs="Times New Roman"/>
                <w:i/>
                <w:szCs w:val="21"/>
              </w:rPr>
            </m:ctrlPr>
          </m:sSubSupPr>
          <m:e>
            <m:r>
              <w:rPr>
                <w:rFonts w:ascii="Cambria Math" w:hAnsi="Cambria Math" w:cs="Times New Roman"/>
                <w:szCs w:val="21"/>
              </w:rPr>
              <m:t>E</m:t>
            </m:r>
          </m:e>
          <m:sub>
            <m:r>
              <w:rPr>
                <w:rFonts w:ascii="Cambria Math" w:hAnsi="Cambria Math" w:cs="Times New Roman"/>
                <w:szCs w:val="21"/>
              </w:rPr>
              <m:t>c,g,t</m:t>
            </m:r>
          </m:sub>
          <m:sup>
            <m:r>
              <w:rPr>
                <w:rFonts w:ascii="Cambria Math" w:hAnsi="Cambria Math" w:cs="Times New Roman"/>
                <w:szCs w:val="21"/>
              </w:rPr>
              <m:t>obs</m:t>
            </m:r>
          </m:sup>
        </m:sSubSup>
      </m:oMath>
      <w:r w:rsidRPr="0080719A">
        <w:rPr>
          <w:rFonts w:ascii="Times New Roman" w:hAnsi="Times New Roman" w:cs="Times New Roman"/>
          <w:szCs w:val="21"/>
        </w:rPr>
        <w:t xml:space="preserve"> is the employment observed in publicly disclosed industry cells that can be matched to an AI exposure score. The weights therefore sum to one across the disclosed and matched employment used in the calculation.</w:t>
      </w:r>
    </w:p>
    <w:p w14:paraId="5DB87774" w14:textId="77777777" w:rsidR="0036209D" w:rsidRPr="0080719A" w:rsidRDefault="0036209D" w:rsidP="0036209D">
      <w:pPr>
        <w:rPr>
          <w:rFonts w:ascii="Times New Roman" w:hAnsi="Times New Roman" w:cs="Times New Roman"/>
          <w:szCs w:val="21"/>
        </w:rPr>
      </w:pPr>
    </w:p>
    <w:p w14:paraId="761B6320" w14:textId="77777777" w:rsidR="0080719A" w:rsidRDefault="0036209D" w:rsidP="0080719A">
      <w:pPr>
        <w:rPr>
          <w:rFonts w:ascii="Times New Roman" w:hAnsi="Times New Roman" w:cs="Times New Roman"/>
          <w:szCs w:val="21"/>
        </w:rPr>
      </w:pPr>
      <w:r w:rsidRPr="0080719A">
        <w:rPr>
          <w:rFonts w:ascii="Times New Roman" w:hAnsi="Times New Roman" w:cs="Times New Roman"/>
          <w:szCs w:val="21"/>
        </w:rPr>
        <w:t>At the same time, I only used the data where the age of the main applicant was less than 25 because this age range corresponds precisely to the age of university graduates who have just entered the job market. Selecting this sample interval allows for a better assessment of the impact of AI exposure on university graduates.</w:t>
      </w:r>
    </w:p>
    <w:p w14:paraId="3A132E02" w14:textId="77777777" w:rsidR="0080719A" w:rsidRDefault="0080719A" w:rsidP="0080719A">
      <w:pPr>
        <w:rPr>
          <w:rFonts w:ascii="Times New Roman" w:hAnsi="Times New Roman" w:cs="Times New Roman"/>
          <w:szCs w:val="21"/>
        </w:rPr>
      </w:pPr>
    </w:p>
    <w:p w14:paraId="5C77BB78" w14:textId="0C3C47CC" w:rsidR="0080719A" w:rsidRPr="0080719A" w:rsidRDefault="0080719A" w:rsidP="0080719A">
      <w:pPr>
        <w:rPr>
          <w:rFonts w:ascii="Times New Roman" w:hAnsi="Times New Roman" w:cs="Times New Roman" w:hint="eastAsia"/>
          <w:szCs w:val="21"/>
        </w:rPr>
      </w:pPr>
      <w:r w:rsidRPr="0080719A">
        <w:rPr>
          <w:rFonts w:ascii="Times New Roman" w:hAnsi="Times New Roman" w:cs="Times New Roman"/>
          <w:szCs w:val="21"/>
        </w:rPr>
        <w:t>County-level per capita income is obtained from the U.S. Census Bureau’s American Community Survey (ACS) five-year estimates, Table B19301. This measure represents income per resident across the total population, including children and people who are not employed. It captures income from earnings and other sources and therefore differs from average wages and median household income. I use the 2021–2024 releases to characterize the income environment of the counties in my sample. [Census Table B</w:t>
      </w:r>
      <w:proofErr w:type="gramStart"/>
      <w:r w:rsidRPr="0080719A">
        <w:rPr>
          <w:rFonts w:ascii="Times New Roman" w:hAnsi="Times New Roman" w:cs="Times New Roman"/>
          <w:szCs w:val="21"/>
        </w:rPr>
        <w:t>19301](</w:t>
      </w:r>
      <w:proofErr w:type="gramEnd"/>
      <w:r w:rsidRPr="0080719A">
        <w:rPr>
          <w:rFonts w:ascii="Times New Roman" w:hAnsi="Times New Roman" w:cs="Times New Roman"/>
          <w:szCs w:val="21"/>
        </w:rPr>
        <w:t>https://api.census.gov/data/2024/acs/acs5/groups/B19301.html)</w:t>
      </w:r>
    </w:p>
    <w:p w14:paraId="76B4F6CB" w14:textId="785FBF56" w:rsidR="0080719A" w:rsidRDefault="0080719A" w:rsidP="0080719A">
      <w:pPr>
        <w:rPr>
          <w:rFonts w:ascii="Times New Roman" w:hAnsi="Times New Roman" w:cs="Times New Roman"/>
          <w:szCs w:val="21"/>
        </w:rPr>
      </w:pPr>
      <w:r w:rsidRPr="0080719A">
        <w:rPr>
          <w:rFonts w:ascii="Times New Roman" w:hAnsi="Times New Roman" w:cs="Times New Roman"/>
          <w:szCs w:val="21"/>
        </w:rPr>
        <w:t xml:space="preserve">I use the ACS five-year estimates because they cover small counties and county-equivalent areas that are not generally included in the standard ACS one-year estimates. This broad geographic coverage helps avoid restricting the analysis to large population centers. The publicly available data and documented definitions also make the measure reproducible. [ACS data selection </w:t>
      </w:r>
      <w:proofErr w:type="gramStart"/>
      <w:r w:rsidRPr="0080719A">
        <w:rPr>
          <w:rFonts w:ascii="Times New Roman" w:hAnsi="Times New Roman" w:cs="Times New Roman"/>
          <w:szCs w:val="21"/>
        </w:rPr>
        <w:t>guidance](</w:t>
      </w:r>
      <w:proofErr w:type="gramEnd"/>
      <w:r w:rsidRPr="0080719A">
        <w:rPr>
          <w:rFonts w:ascii="Times New Roman" w:hAnsi="Times New Roman" w:cs="Times New Roman"/>
          <w:szCs w:val="21"/>
        </w:rPr>
        <w:t>https://www.census.gov/programs-surveys/acs/guidance/estimates.html)</w:t>
      </w:r>
    </w:p>
    <w:p w14:paraId="41D194F1" w14:textId="77777777" w:rsidR="0080719A" w:rsidRDefault="0080719A" w:rsidP="0080719A">
      <w:pPr>
        <w:rPr>
          <w:rFonts w:ascii="Times New Roman" w:hAnsi="Times New Roman" w:cs="Times New Roman"/>
          <w:szCs w:val="21"/>
        </w:rPr>
      </w:pPr>
    </w:p>
    <w:p w14:paraId="12BA3004" w14:textId="77777777" w:rsidR="0080719A" w:rsidRDefault="0080719A" w:rsidP="0080719A">
      <w:pPr>
        <w:rPr>
          <w:rFonts w:ascii="Times New Roman" w:hAnsi="Times New Roman" w:cs="Times New Roman" w:hint="eastAsia"/>
          <w:szCs w:val="21"/>
        </w:rPr>
      </w:pPr>
    </w:p>
    <w:p w14:paraId="0D29BFE4" w14:textId="67926436" w:rsidR="0036209D" w:rsidRPr="0080719A" w:rsidRDefault="0036209D" w:rsidP="0080719A">
      <w:pPr>
        <w:rPr>
          <w:rFonts w:ascii="Times New Roman" w:hAnsi="Times New Roman" w:cs="Times New Roman"/>
          <w:noProof/>
          <w:szCs w:val="21"/>
        </w:rPr>
      </w:pPr>
      <w:r w:rsidRPr="0080719A">
        <w:rPr>
          <w:rFonts w:ascii="Times New Roman" w:hAnsi="Times New Roman" w:cs="Times New Roman"/>
          <w:szCs w:val="21"/>
        </w:rPr>
        <w:fldChar w:fldCharType="begin"/>
      </w:r>
      <w:r w:rsidRPr="0080719A">
        <w:rPr>
          <w:rFonts w:ascii="Times New Roman" w:hAnsi="Times New Roman" w:cs="Times New Roman"/>
          <w:szCs w:val="21"/>
        </w:rPr>
        <w:instrText xml:space="preserve"> ADDIN EN.REFLIST </w:instrText>
      </w:r>
      <w:r w:rsidRPr="0080719A">
        <w:rPr>
          <w:rFonts w:ascii="Times New Roman" w:hAnsi="Times New Roman" w:cs="Times New Roman"/>
          <w:szCs w:val="21"/>
        </w:rPr>
        <w:fldChar w:fldCharType="separate"/>
      </w:r>
      <w:r w:rsidRPr="0080719A">
        <w:rPr>
          <w:rFonts w:ascii="Times New Roman" w:hAnsi="Times New Roman" w:cs="Times New Roman"/>
          <w:noProof/>
          <w:szCs w:val="21"/>
        </w:rPr>
        <w:t>1</w:t>
      </w:r>
      <w:r w:rsidRPr="0080719A">
        <w:rPr>
          <w:rFonts w:ascii="Times New Roman" w:hAnsi="Times New Roman" w:cs="Times New Roman"/>
          <w:noProof/>
          <w:szCs w:val="21"/>
        </w:rPr>
        <w:tab/>
        <w:t xml:space="preserve">Felten, E., Raj, M., &amp; Seamans, R. (2021). Occupational, industry, and geographic exposure to artificial intelligence: A novel dataset and its potential uses. </w:t>
      </w:r>
      <w:r w:rsidRPr="0080719A">
        <w:rPr>
          <w:rFonts w:ascii="Times New Roman" w:hAnsi="Times New Roman" w:cs="Times New Roman"/>
          <w:i/>
          <w:noProof/>
          <w:szCs w:val="21"/>
        </w:rPr>
        <w:t>Strategic management journal</w:t>
      </w:r>
      <w:r w:rsidRPr="0080719A">
        <w:rPr>
          <w:rFonts w:ascii="Times New Roman" w:hAnsi="Times New Roman" w:cs="Times New Roman"/>
          <w:noProof/>
          <w:szCs w:val="21"/>
        </w:rPr>
        <w:t>,</w:t>
      </w:r>
      <w:r w:rsidRPr="0080719A">
        <w:rPr>
          <w:rFonts w:ascii="Times New Roman" w:hAnsi="Times New Roman" w:cs="Times New Roman"/>
          <w:i/>
          <w:noProof/>
          <w:szCs w:val="21"/>
        </w:rPr>
        <w:t xml:space="preserve"> 42</w:t>
      </w:r>
      <w:r w:rsidRPr="0080719A">
        <w:rPr>
          <w:rFonts w:ascii="Times New Roman" w:hAnsi="Times New Roman" w:cs="Times New Roman"/>
          <w:noProof/>
          <w:szCs w:val="21"/>
        </w:rPr>
        <w:t xml:space="preserve">(12), 2195-2217. </w:t>
      </w:r>
    </w:p>
    <w:p w14:paraId="360C6A28" w14:textId="0CFAD0D2" w:rsidR="00B402C4" w:rsidRPr="0080719A" w:rsidRDefault="0036209D" w:rsidP="0036209D">
      <w:pPr>
        <w:rPr>
          <w:rFonts w:ascii="Times New Roman" w:hAnsi="Times New Roman" w:cs="Times New Roman"/>
          <w:szCs w:val="21"/>
        </w:rPr>
      </w:pPr>
      <w:r w:rsidRPr="0080719A">
        <w:rPr>
          <w:rFonts w:ascii="Times New Roman" w:hAnsi="Times New Roman" w:cs="Times New Roman"/>
          <w:szCs w:val="21"/>
        </w:rPr>
        <w:fldChar w:fldCharType="end"/>
      </w:r>
    </w:p>
    <w:sectPr w:rsidR="00B402C4" w:rsidRPr="008071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2rxadvle250ueds5xvzxtu52x5xxz0z2p5&quot;&gt;AI&lt;record-ids&gt;&lt;item&gt;350&lt;/item&gt;&lt;/record-ids&gt;&lt;/item&gt;&lt;/Libraries&gt;"/>
  </w:docVars>
  <w:rsids>
    <w:rsidRoot w:val="00B402C4"/>
    <w:rsid w:val="001655ED"/>
    <w:rsid w:val="002E2242"/>
    <w:rsid w:val="0036209D"/>
    <w:rsid w:val="004E6CC6"/>
    <w:rsid w:val="0080719A"/>
    <w:rsid w:val="008A5119"/>
    <w:rsid w:val="00B402C4"/>
    <w:rsid w:val="00DB1FA3"/>
    <w:rsid w:val="00EF1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7904"/>
  <w15:chartTrackingRefBased/>
  <w15:docId w15:val="{F9D8799B-DC97-4CCB-BC81-EF93F7CD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02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02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02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02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02C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02C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02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02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02C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02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02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02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02C4"/>
    <w:rPr>
      <w:rFonts w:cstheme="majorBidi"/>
      <w:color w:val="0F4761" w:themeColor="accent1" w:themeShade="BF"/>
      <w:sz w:val="28"/>
      <w:szCs w:val="28"/>
    </w:rPr>
  </w:style>
  <w:style w:type="character" w:customStyle="1" w:styleId="50">
    <w:name w:val="标题 5 字符"/>
    <w:basedOn w:val="a0"/>
    <w:link w:val="5"/>
    <w:uiPriority w:val="9"/>
    <w:semiHidden/>
    <w:rsid w:val="00B402C4"/>
    <w:rPr>
      <w:rFonts w:cstheme="majorBidi"/>
      <w:color w:val="0F4761" w:themeColor="accent1" w:themeShade="BF"/>
      <w:sz w:val="24"/>
      <w:szCs w:val="24"/>
    </w:rPr>
  </w:style>
  <w:style w:type="character" w:customStyle="1" w:styleId="60">
    <w:name w:val="标题 6 字符"/>
    <w:basedOn w:val="a0"/>
    <w:link w:val="6"/>
    <w:uiPriority w:val="9"/>
    <w:semiHidden/>
    <w:rsid w:val="00B402C4"/>
    <w:rPr>
      <w:rFonts w:cstheme="majorBidi"/>
      <w:b/>
      <w:bCs/>
      <w:color w:val="0F4761" w:themeColor="accent1" w:themeShade="BF"/>
    </w:rPr>
  </w:style>
  <w:style w:type="character" w:customStyle="1" w:styleId="70">
    <w:name w:val="标题 7 字符"/>
    <w:basedOn w:val="a0"/>
    <w:link w:val="7"/>
    <w:uiPriority w:val="9"/>
    <w:semiHidden/>
    <w:rsid w:val="00B402C4"/>
    <w:rPr>
      <w:rFonts w:cstheme="majorBidi"/>
      <w:b/>
      <w:bCs/>
      <w:color w:val="595959" w:themeColor="text1" w:themeTint="A6"/>
    </w:rPr>
  </w:style>
  <w:style w:type="character" w:customStyle="1" w:styleId="80">
    <w:name w:val="标题 8 字符"/>
    <w:basedOn w:val="a0"/>
    <w:link w:val="8"/>
    <w:uiPriority w:val="9"/>
    <w:semiHidden/>
    <w:rsid w:val="00B402C4"/>
    <w:rPr>
      <w:rFonts w:cstheme="majorBidi"/>
      <w:color w:val="595959" w:themeColor="text1" w:themeTint="A6"/>
    </w:rPr>
  </w:style>
  <w:style w:type="character" w:customStyle="1" w:styleId="90">
    <w:name w:val="标题 9 字符"/>
    <w:basedOn w:val="a0"/>
    <w:link w:val="9"/>
    <w:uiPriority w:val="9"/>
    <w:semiHidden/>
    <w:rsid w:val="00B402C4"/>
    <w:rPr>
      <w:rFonts w:eastAsiaTheme="majorEastAsia" w:cstheme="majorBidi"/>
      <w:color w:val="595959" w:themeColor="text1" w:themeTint="A6"/>
    </w:rPr>
  </w:style>
  <w:style w:type="paragraph" w:styleId="a3">
    <w:name w:val="Title"/>
    <w:basedOn w:val="a"/>
    <w:next w:val="a"/>
    <w:link w:val="a4"/>
    <w:uiPriority w:val="10"/>
    <w:qFormat/>
    <w:rsid w:val="00B402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02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02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02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02C4"/>
    <w:pPr>
      <w:spacing w:before="160" w:after="160"/>
      <w:jc w:val="center"/>
    </w:pPr>
    <w:rPr>
      <w:i/>
      <w:iCs/>
      <w:color w:val="404040" w:themeColor="text1" w:themeTint="BF"/>
    </w:rPr>
  </w:style>
  <w:style w:type="character" w:customStyle="1" w:styleId="a8">
    <w:name w:val="引用 字符"/>
    <w:basedOn w:val="a0"/>
    <w:link w:val="a7"/>
    <w:uiPriority w:val="29"/>
    <w:rsid w:val="00B402C4"/>
    <w:rPr>
      <w:i/>
      <w:iCs/>
      <w:color w:val="404040" w:themeColor="text1" w:themeTint="BF"/>
    </w:rPr>
  </w:style>
  <w:style w:type="paragraph" w:styleId="a9">
    <w:name w:val="List Paragraph"/>
    <w:basedOn w:val="a"/>
    <w:uiPriority w:val="34"/>
    <w:qFormat/>
    <w:rsid w:val="00B402C4"/>
    <w:pPr>
      <w:ind w:left="720"/>
      <w:contextualSpacing/>
    </w:pPr>
  </w:style>
  <w:style w:type="character" w:styleId="aa">
    <w:name w:val="Intense Emphasis"/>
    <w:basedOn w:val="a0"/>
    <w:uiPriority w:val="21"/>
    <w:qFormat/>
    <w:rsid w:val="00B402C4"/>
    <w:rPr>
      <w:i/>
      <w:iCs/>
      <w:color w:val="0F4761" w:themeColor="accent1" w:themeShade="BF"/>
    </w:rPr>
  </w:style>
  <w:style w:type="paragraph" w:styleId="ab">
    <w:name w:val="Intense Quote"/>
    <w:basedOn w:val="a"/>
    <w:next w:val="a"/>
    <w:link w:val="ac"/>
    <w:uiPriority w:val="30"/>
    <w:qFormat/>
    <w:rsid w:val="00B40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02C4"/>
    <w:rPr>
      <w:i/>
      <w:iCs/>
      <w:color w:val="0F4761" w:themeColor="accent1" w:themeShade="BF"/>
    </w:rPr>
  </w:style>
  <w:style w:type="character" w:styleId="ad">
    <w:name w:val="Intense Reference"/>
    <w:basedOn w:val="a0"/>
    <w:uiPriority w:val="32"/>
    <w:qFormat/>
    <w:rsid w:val="00B402C4"/>
    <w:rPr>
      <w:b/>
      <w:bCs/>
      <w:smallCaps/>
      <w:color w:val="0F4761" w:themeColor="accent1" w:themeShade="BF"/>
      <w:spacing w:val="5"/>
    </w:rPr>
  </w:style>
  <w:style w:type="paragraph" w:customStyle="1" w:styleId="EndNoteBibliographyTitle">
    <w:name w:val="EndNote Bibliography Title"/>
    <w:basedOn w:val="a"/>
    <w:link w:val="EndNoteBibliographyTitle0"/>
    <w:rsid w:val="0036209D"/>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36209D"/>
    <w:rPr>
      <w:rFonts w:ascii="等线" w:eastAsia="等线" w:hAnsi="等线"/>
      <w:noProof/>
      <w:sz w:val="20"/>
    </w:rPr>
  </w:style>
  <w:style w:type="paragraph" w:customStyle="1" w:styleId="EndNoteBibliography">
    <w:name w:val="EndNote Bibliography"/>
    <w:basedOn w:val="a"/>
    <w:link w:val="EndNoteBibliography0"/>
    <w:rsid w:val="0036209D"/>
    <w:rPr>
      <w:rFonts w:ascii="等线" w:eastAsia="等线" w:hAnsi="等线"/>
      <w:noProof/>
      <w:sz w:val="20"/>
    </w:rPr>
  </w:style>
  <w:style w:type="character" w:customStyle="1" w:styleId="EndNoteBibliography0">
    <w:name w:val="EndNote Bibliography 字符"/>
    <w:basedOn w:val="a0"/>
    <w:link w:val="EndNoteBibliography"/>
    <w:rsid w:val="0036209D"/>
    <w:rPr>
      <w:rFonts w:ascii="等线" w:eastAsia="等线" w:hAnsi="等线"/>
      <w:noProof/>
      <w:sz w:val="20"/>
    </w:rPr>
  </w:style>
  <w:style w:type="character" w:styleId="ae">
    <w:name w:val="Placeholder Text"/>
    <w:basedOn w:val="a0"/>
    <w:uiPriority w:val="99"/>
    <w:semiHidden/>
    <w:rsid w:val="003620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chenhao zhao</dc:creator>
  <cp:keywords/>
  <dc:description/>
  <cp:lastModifiedBy>chenhao zhao</cp:lastModifiedBy>
  <cp:revision>1</cp:revision>
  <dcterms:created xsi:type="dcterms:W3CDTF">2026-10-13T09:35:00Z</dcterms:created>
  <dcterms:modified xsi:type="dcterms:W3CDTF">2026-10-13T10:02:00Z</dcterms:modified>
</cp:coreProperties>
</file>