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7.4341365224086"/>
        <w:gridCol w:w="2488.236338878693"/>
        <w:gridCol w:w="2360.054466875851"/>
        <w:gridCol w:w="1839.78686874667"/>
        <w:tblGridChange w:id="0">
          <w:tblGrid>
            <w:gridCol w:w="2337.4341365224086"/>
            <w:gridCol w:w="2488.236338878693"/>
            <w:gridCol w:w="2360.054466875851"/>
            <w:gridCol w:w="1839.786868746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DADO SISTEMA HVA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DADO CORRESPONDENTE PROJURIS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TEMA (FRENTE)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1% FIES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COMPLEXO (NÍVEL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ausente atualmente /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COMPLEXO (NÍVEL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ausente atualmente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COMPLEXO (NÍVEL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Complexo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ausente atualmente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Prioritária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Prioritários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Urgente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 atualmente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tarefas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tarefas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Apelação, Agravo de Instrumento, etc.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Nem todas as pontuadas estão no PROJURIS ainda. precisamos ver se seria necessário corrigirmos.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pontuação tarefas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 atualmente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pontuação temas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 atualmente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Responsáveis exclusivo por 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 atualmente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Responsáveis exclusivo por tipo de 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 atualmente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Prazo limite interno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Prazo previsto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vinculados ao módulo de tarefas.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Prazo fatal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Prazo fatal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vinculados ao módulo de tarefas.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Observação 1: hoje parte dessas informações importantes são registradas como marcadores, mas no projuris existe a possibilidade de criar campos personalizados. Podemos fazer esse ajuste de transformar dessa forma. Dependeria principalmente se há a necessidade e se facilitaria ou não para fins do sistema HV.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Observação 2: Também existe a mesma possibilidade de mudarmos o campo “Assunto” em que registramos o tema do processo, para tratar como um campo personalizado que pode ser criado.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Dúvida 1: Para fins do sistema HV, seria ideal ou melhor trazer os dados do processo como um espelhamento (projuris como base de dados) [do projuris para SHV], ou seria melhor ter uma base interna que é alimentada/projetada para o projuris [do SHV para projuris]? ou não existe diferença?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Dúvida 2: É possível automações/workflows nas tarefas que serão criadas via SHV? (exemplo, concluiu a tarefa x, automaticamente inicia a tarefa Y e distribui para Z pessoa);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Dúvida 3: Existe alguma vantagem ou necessidade em mudar as informações do PROJURIS em marcadores para campos personalizados, para fins do uso/SHV?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