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5FB09A38" w:rsidR="00F82448" w:rsidRP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bookmarkStart w:id="0" w:name="_GoBack"/>
      <w:bookmarkEnd w:id="0"/>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6AF1B3A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 xml:space="preserve">(van </w:t>
      </w:r>
      <w:proofErr w:type="spellStart"/>
      <w:r w:rsidR="00243334" w:rsidRPr="00243334">
        <w:rPr>
          <w:rFonts w:ascii="Calibri" w:hAnsi="Calibri" w:cs="Calibri"/>
        </w:rPr>
        <w:t>Casteren</w:t>
      </w:r>
      <w:proofErr w:type="spellEnd"/>
      <w:r w:rsidR="00243334" w:rsidRPr="00243334">
        <w:rPr>
          <w:rFonts w:ascii="Calibri" w:hAnsi="Calibri" w:cs="Calibri"/>
        </w:rPr>
        <w:t xml:space="preserve"> &amp; Davis, 2007)</w:t>
      </w:r>
      <w:r w:rsidR="00243334">
        <w:rPr>
          <w:lang w:val="en-CA"/>
        </w:rPr>
        <w:fldChar w:fldCharType="end"/>
      </w:r>
      <w:r w:rsidR="00243334">
        <w:rPr>
          <w:lang w:val="en-CA"/>
        </w:rPr>
        <w:t xml:space="preserve">. The match </w:t>
      </w:r>
      <w:proofErr w:type="gramStart"/>
      <w:r w:rsidR="00243334">
        <w:rPr>
          <w:lang w:val="en-CA"/>
        </w:rPr>
        <w:t>were</w:t>
      </w:r>
      <w:proofErr w:type="gramEnd"/>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746B3B08" w:rsidR="002C1732" w:rsidRDefault="002C1732">
      <w:pPr>
        <w:rPr>
          <w:lang w:val="en-CA"/>
        </w:rPr>
      </w:pPr>
      <w:r>
        <w:rPr>
          <w:lang w:val="en-CA"/>
        </w:rPr>
        <w:t>During study, the 5 sets were each presented for 1, 3, 5, 7, and 9 times, resulting 450 presentations in total. In addition, 50 pronounceable non-words</w:t>
      </w:r>
      <w:r w:rsidR="00CF5FF0">
        <w:rPr>
          <w:lang w:val="en-CA"/>
        </w:rPr>
        <w:t xml:space="preserve"> each presented once</w:t>
      </w:r>
      <w:r>
        <w:rPr>
          <w:lang w:val="en-CA"/>
        </w:rPr>
        <w:t xml:space="preserve"> were used as targets for the lexical decision task in the study phase.</w:t>
      </w:r>
      <w:r w:rsidR="00CF5FF0">
        <w:rPr>
          <w:lang w:val="en-CA"/>
        </w:rPr>
        <w:t xml:space="preserve"> These non-words are the same across the two counterbalance versions. </w:t>
      </w:r>
      <w:proofErr w:type="gramStart"/>
      <w:r w:rsidR="00CF5FF0">
        <w:rPr>
          <w:lang w:val="en-CA"/>
        </w:rPr>
        <w:t>So</w:t>
      </w:r>
      <w:proofErr w:type="gramEnd"/>
      <w:r w:rsidR="00CF5FF0">
        <w:rPr>
          <w:lang w:val="en-CA"/>
        </w:rPr>
        <w:t xml:space="preserve"> in total, a study phase is consist of 500 trials, which were divided into 10 runs of 50 trials, with the run order counterbalanced across participants.</w:t>
      </w:r>
    </w:p>
    <w:p w14:paraId="64358F98" w14:textId="2CA05CF0"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1F1A3948" w14:textId="7CEFD3E0" w:rsidR="003154C9" w:rsidRPr="003E5588" w:rsidRDefault="003154C9">
      <w:pPr>
        <w:rPr>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xml:space="preserve">. The hand/finger mapping was counterbalanced across participants for the test phase tasks, but not for the study phase task.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45 correct trials successively to pass. Each trial is self-timed. If they make an incorrect response, a figure of the button box with a red box on the correct key will be shown to them for 2 seconds.</w:t>
      </w:r>
    </w:p>
    <w:sectPr w:rsidR="003154C9" w:rsidRPr="003E5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1E1E65"/>
    <w:rsid w:val="00243334"/>
    <w:rsid w:val="002C1732"/>
    <w:rsid w:val="003154C9"/>
    <w:rsid w:val="00353C8D"/>
    <w:rsid w:val="003E5588"/>
    <w:rsid w:val="005B5648"/>
    <w:rsid w:val="0074438D"/>
    <w:rsid w:val="00847BC3"/>
    <w:rsid w:val="00C544CF"/>
    <w:rsid w:val="00CF5FF0"/>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7</cp:revision>
  <dcterms:created xsi:type="dcterms:W3CDTF">2019-01-07T19:02:00Z</dcterms:created>
  <dcterms:modified xsi:type="dcterms:W3CDTF">2019-01-07T19:27:00Z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