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200" w:leftChars="0" w:firstLineChars="0"/>
        <w:rPr>
          <w:rFonts w:hint="default"/>
          <w:lang w:val="en-US"/>
        </w:rPr>
      </w:pPr>
      <w:r>
        <w:rPr>
          <w:rFonts w:hint="default"/>
          <w:lang w:val="en-US"/>
        </w:rPr>
        <w:t>Company region and employ residence are regrouped into regions: Africa, Asia, , Americas, Europe, Oceania</w:t>
      </w:r>
    </w:p>
    <w:p>
      <w:pPr>
        <w:numPr>
          <w:ilvl w:val="0"/>
          <w:numId w:val="1"/>
        </w:numPr>
        <w:ind w:left="200" w:leftChars="0" w:firstLineChars="0"/>
        <w:rPr>
          <w:rFonts w:hint="default"/>
          <w:lang w:val="en-US"/>
        </w:rPr>
      </w:pPr>
      <w:r>
        <w:rPr>
          <w:rFonts w:hint="default"/>
          <w:lang w:val="en-US"/>
        </w:rPr>
        <w:t>Over 90 diferent job titles are grouped into 6 groups, keeping the top most frequent and group remaining into ‘others’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91"/>
        <w:gridCol w:w="1184"/>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0" w:hRule="atLeast"/>
        </w:trPr>
        <w:tc>
          <w:tcPr>
            <w:tcW w:w="299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monospace"/>
                <w:i w:val="0"/>
                <w:iCs w:val="0"/>
                <w:caps w:val="0"/>
                <w:color w:val="000000"/>
                <w:spacing w:val="0"/>
                <w:sz w:val="21"/>
                <w:szCs w:val="21"/>
                <w:shd w:val="clear" w:fill="FFFFFF"/>
                <w:vertAlign w:val="baseline"/>
              </w:rPr>
            </w:pPr>
            <w:r>
              <w:rPr>
                <w:rFonts w:hint="default" w:ascii="Arial" w:hAnsi="Arial" w:eastAsia="monospace" w:cs="monospace"/>
                <w:i w:val="0"/>
                <w:iCs w:val="0"/>
                <w:caps w:val="0"/>
                <w:color w:val="000000"/>
                <w:spacing w:val="0"/>
                <w:sz w:val="21"/>
                <w:szCs w:val="21"/>
                <w:shd w:val="clear" w:fill="FFFFFF"/>
                <w:vertAlign w:val="baseline"/>
              </w:rPr>
              <w:t>job_title</w:t>
            </w:r>
          </w:p>
          <w:p>
            <w:pPr>
              <w:numPr>
                <w:numId w:val="0"/>
              </w:numPr>
              <w:rPr>
                <w:rFonts w:hint="default"/>
                <w:vertAlign w:val="baseline"/>
                <w:lang w:val="en-US"/>
              </w:rPr>
            </w:pPr>
          </w:p>
        </w:tc>
        <w:tc>
          <w:tcPr>
            <w:tcW w:w="1184" w:type="dxa"/>
          </w:tcPr>
          <w:p>
            <w:pPr>
              <w:numPr>
                <w:numId w:val="0"/>
              </w:numPr>
              <w:rPr>
                <w:rFonts w:hint="default"/>
                <w:vertAlign w:val="baseline"/>
                <w:lang w:val="en-US"/>
              </w:rPr>
            </w:pPr>
            <w:r>
              <w:rPr>
                <w:rFonts w:hint="default"/>
                <w:vertAlign w:val="baseline"/>
                <w:lang w:val="en-US"/>
              </w:rPr>
              <w:t>percent</w:t>
            </w:r>
          </w:p>
        </w:tc>
        <w:tc>
          <w:tcPr>
            <w:tcW w:w="1184" w:type="dxa"/>
          </w:tcPr>
          <w:p>
            <w:pPr>
              <w:numPr>
                <w:numId w:val="0"/>
              </w:numPr>
              <w:rPr>
                <w:rFonts w:hint="default"/>
                <w:vertAlign w:val="baseline"/>
                <w:lang w:val="en-US"/>
              </w:rPr>
            </w:pPr>
            <w:r>
              <w:rPr>
                <w:rFonts w:hint="default"/>
                <w:vertAlign w:val="baseline"/>
                <w:lang w:val="en-US"/>
              </w:rPr>
              <w:t xml:space="preserve">Total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5" w:hRule="atLeast"/>
        </w:trPr>
        <w:tc>
          <w:tcPr>
            <w:tcW w:w="2991" w:type="dxa"/>
          </w:tcPr>
          <w:p>
            <w:pPr>
              <w:numPr>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rPr>
              <w:t xml:space="preserve">Data Engineer </w:t>
            </w:r>
          </w:p>
        </w:tc>
        <w:tc>
          <w:tcPr>
            <w:tcW w:w="1184" w:type="dxa"/>
          </w:tcPr>
          <w:p>
            <w:pPr>
              <w:numPr>
                <w:numId w:val="0"/>
              </w:numPr>
              <w:rPr>
                <w:rFonts w:hint="default"/>
                <w:vertAlign w:val="baseline"/>
                <w:lang w:val="en-US"/>
              </w:rPr>
            </w:pPr>
            <w:r>
              <w:rPr>
                <w:rFonts w:hint="default"/>
                <w:vertAlign w:val="baseline"/>
                <w:lang w:val="en-US"/>
              </w:rPr>
              <w:t>27.7%</w:t>
            </w:r>
          </w:p>
        </w:tc>
        <w:tc>
          <w:tcPr>
            <w:tcW w:w="1184" w:type="dxa"/>
            <w:vMerge w:val="restart"/>
          </w:tcPr>
          <w:p>
            <w:pPr>
              <w:numPr>
                <w:numId w:val="0"/>
              </w:numPr>
              <w:rPr>
                <w:rFonts w:hint="default"/>
                <w:vertAlign w:val="baseline"/>
                <w:lang w:val="en-US"/>
              </w:rPr>
            </w:pPr>
          </w:p>
          <w:p>
            <w:pPr>
              <w:numPr>
                <w:numId w:val="0"/>
              </w:numPr>
              <w:rPr>
                <w:rFonts w:hint="default"/>
                <w:vertAlign w:val="baseline"/>
                <w:lang w:val="en-US"/>
              </w:rPr>
            </w:pPr>
          </w:p>
          <w:p>
            <w:pPr>
              <w:numPr>
                <w:numId w:val="0"/>
              </w:numPr>
              <w:rPr>
                <w:rFonts w:hint="default"/>
                <w:vertAlign w:val="baseline"/>
                <w:lang w:val="en-US"/>
              </w:rPr>
            </w:pPr>
            <w:r>
              <w:rPr>
                <w:rFonts w:hint="default"/>
                <w:vertAlign w:val="baseline"/>
                <w:lang w:val="en-US"/>
              </w:rPr>
              <w:t>76.8%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5" w:hRule="atLeast"/>
        </w:trPr>
        <w:tc>
          <w:tcPr>
            <w:tcW w:w="2991" w:type="dxa"/>
          </w:tcPr>
          <w:p>
            <w:pPr>
              <w:numPr>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rPr>
              <w:t>Data Scientist</w:t>
            </w:r>
          </w:p>
        </w:tc>
        <w:tc>
          <w:tcPr>
            <w:tcW w:w="1184" w:type="dxa"/>
          </w:tcPr>
          <w:p>
            <w:pPr>
              <w:numPr>
                <w:numId w:val="0"/>
              </w:numPr>
              <w:rPr>
                <w:rFonts w:hint="default"/>
                <w:vertAlign w:val="baseline"/>
                <w:lang w:val="en-US"/>
              </w:rPr>
            </w:pPr>
            <w:r>
              <w:rPr>
                <w:rFonts w:hint="default"/>
                <w:vertAlign w:val="baseline"/>
                <w:lang w:val="en-US"/>
              </w:rPr>
              <w:t>22.4%</w:t>
            </w:r>
          </w:p>
        </w:tc>
        <w:tc>
          <w:tcPr>
            <w:tcW w:w="1184" w:type="dxa"/>
            <w:vMerge w:val="continue"/>
            <w:tcBorders/>
          </w:tcPr>
          <w:p>
            <w:pPr>
              <w:numPr>
                <w:numId w:val="0"/>
              </w:num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5" w:hRule="atLeast"/>
        </w:trPr>
        <w:tc>
          <w:tcPr>
            <w:tcW w:w="2991" w:type="dxa"/>
          </w:tcPr>
          <w:p>
            <w:pPr>
              <w:numPr>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rPr>
              <w:t>Data Analyst</w:t>
            </w:r>
          </w:p>
        </w:tc>
        <w:tc>
          <w:tcPr>
            <w:tcW w:w="1184" w:type="dxa"/>
          </w:tcPr>
          <w:p>
            <w:pPr>
              <w:numPr>
                <w:numId w:val="0"/>
              </w:numPr>
              <w:rPr>
                <w:rFonts w:hint="default"/>
                <w:vertAlign w:val="baseline"/>
                <w:lang w:val="en-US"/>
              </w:rPr>
            </w:pPr>
            <w:r>
              <w:rPr>
                <w:rFonts w:hint="default"/>
                <w:vertAlign w:val="baseline"/>
                <w:lang w:val="en-US"/>
              </w:rPr>
              <w:t>16.3%</w:t>
            </w:r>
          </w:p>
        </w:tc>
        <w:tc>
          <w:tcPr>
            <w:tcW w:w="1184" w:type="dxa"/>
            <w:vMerge w:val="continue"/>
            <w:tcBorders/>
          </w:tcPr>
          <w:p>
            <w:pPr>
              <w:numPr>
                <w:numId w:val="0"/>
              </w:num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8" w:hRule="atLeast"/>
        </w:trPr>
        <w:tc>
          <w:tcPr>
            <w:tcW w:w="2991" w:type="dxa"/>
          </w:tcPr>
          <w:p>
            <w:pPr>
              <w:numPr>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rPr>
              <w:t>Machine Learning Engineer</w:t>
            </w:r>
          </w:p>
        </w:tc>
        <w:tc>
          <w:tcPr>
            <w:tcW w:w="1184" w:type="dxa"/>
          </w:tcPr>
          <w:p>
            <w:pPr>
              <w:numPr>
                <w:numId w:val="0"/>
              </w:numPr>
              <w:rPr>
                <w:rFonts w:hint="default"/>
                <w:vertAlign w:val="baseline"/>
                <w:lang w:val="en-US"/>
              </w:rPr>
            </w:pPr>
            <w:r>
              <w:rPr>
                <w:rFonts w:hint="default"/>
                <w:vertAlign w:val="baseline"/>
                <w:lang w:val="en-US"/>
              </w:rPr>
              <w:t>7.7%</w:t>
            </w:r>
          </w:p>
        </w:tc>
        <w:tc>
          <w:tcPr>
            <w:tcW w:w="1184" w:type="dxa"/>
            <w:vMerge w:val="continue"/>
            <w:tcBorders/>
          </w:tcPr>
          <w:p>
            <w:pPr>
              <w:numPr>
                <w:numId w:val="0"/>
              </w:num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5" w:hRule="atLeast"/>
        </w:trPr>
        <w:tc>
          <w:tcPr>
            <w:tcW w:w="2991" w:type="dxa"/>
          </w:tcPr>
          <w:p>
            <w:pPr>
              <w:numPr>
                <w:numId w:val="0"/>
              </w:numPr>
              <w:rPr>
                <w:rFonts w:hint="default" w:ascii="Arial" w:hAnsi="Arial" w:eastAsia="monospace" w:cs="monospace"/>
                <w:i w:val="0"/>
                <w:iCs w:val="0"/>
                <w:caps w:val="0"/>
                <w:color w:val="000000"/>
                <w:spacing w:val="0"/>
                <w:sz w:val="21"/>
                <w:szCs w:val="21"/>
                <w:shd w:val="clear" w:fill="FFFFFF"/>
                <w:vertAlign w:val="baseline"/>
              </w:rPr>
            </w:pPr>
            <w:r>
              <w:rPr>
                <w:rFonts w:hint="default" w:ascii="Arial" w:hAnsi="Arial" w:eastAsia="monospace" w:cs="monospace"/>
                <w:i w:val="0"/>
                <w:iCs w:val="0"/>
                <w:caps w:val="0"/>
                <w:color w:val="000000"/>
                <w:spacing w:val="0"/>
                <w:sz w:val="21"/>
                <w:szCs w:val="21"/>
                <w:shd w:val="clear" w:fill="FFFFFF"/>
                <w:vertAlign w:val="baseline"/>
              </w:rPr>
              <w:t xml:space="preserve">Analytics Engineer </w:t>
            </w:r>
          </w:p>
        </w:tc>
        <w:tc>
          <w:tcPr>
            <w:tcW w:w="1184" w:type="dxa"/>
          </w:tcPr>
          <w:p>
            <w:pPr>
              <w:numPr>
                <w:numId w:val="0"/>
              </w:numPr>
              <w:rPr>
                <w:rFonts w:hint="default"/>
                <w:vertAlign w:val="baseline"/>
                <w:lang w:val="en-US"/>
              </w:rPr>
            </w:pPr>
            <w:r>
              <w:rPr>
                <w:rFonts w:hint="default"/>
                <w:vertAlign w:val="baseline"/>
                <w:lang w:val="en-US"/>
              </w:rPr>
              <w:t>2.7%</w:t>
            </w:r>
          </w:p>
        </w:tc>
        <w:tc>
          <w:tcPr>
            <w:tcW w:w="1184" w:type="dxa"/>
            <w:vMerge w:val="continue"/>
            <w:tcBorders/>
          </w:tcPr>
          <w:p>
            <w:pPr>
              <w:numPr>
                <w:numId w:val="0"/>
              </w:num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2" w:hRule="atLeast"/>
        </w:trPr>
        <w:tc>
          <w:tcPr>
            <w:tcW w:w="2991" w:type="dxa"/>
          </w:tcPr>
          <w:p>
            <w:pPr>
              <w:numPr>
                <w:numId w:val="0"/>
              </w:numPr>
              <w:rPr>
                <w:rFonts w:hint="default" w:ascii="Arial" w:hAnsi="Arial" w:eastAsia="monospace" w:cs="monospace"/>
                <w:i w:val="0"/>
                <w:iCs w:val="0"/>
                <w:caps w:val="0"/>
                <w:color w:val="000000"/>
                <w:spacing w:val="0"/>
                <w:sz w:val="21"/>
                <w:szCs w:val="21"/>
                <w:shd w:val="clear" w:fill="FFFFFF"/>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others</w:t>
            </w:r>
          </w:p>
        </w:tc>
        <w:tc>
          <w:tcPr>
            <w:tcW w:w="1184" w:type="dxa"/>
          </w:tcPr>
          <w:p>
            <w:pPr>
              <w:numPr>
                <w:numId w:val="0"/>
              </w:numPr>
              <w:rPr>
                <w:rFonts w:hint="default"/>
                <w:vertAlign w:val="baseline"/>
                <w:lang w:val="en-US"/>
              </w:rPr>
            </w:pPr>
            <w:r>
              <w:rPr>
                <w:rFonts w:hint="default"/>
                <w:vertAlign w:val="baseline"/>
                <w:lang w:val="en-US"/>
              </w:rPr>
              <w:t>23.2%</w:t>
            </w:r>
          </w:p>
        </w:tc>
        <w:tc>
          <w:tcPr>
            <w:tcW w:w="1184" w:type="dxa"/>
            <w:tcBorders/>
          </w:tcPr>
          <w:p>
            <w:pPr>
              <w:numPr>
                <w:numId w:val="0"/>
              </w:numPr>
              <w:rPr>
                <w:rFonts w:hint="default"/>
                <w:vertAlign w:val="baseline"/>
                <w:lang w:val="en-US"/>
              </w:rPr>
            </w:pPr>
            <w:r>
              <w:rPr>
                <w:rFonts w:hint="default"/>
                <w:vertAlign w:val="baseline"/>
                <w:lang w:val="en-US"/>
              </w:rPr>
              <w:t>23.2%</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monospace"/>
          <w:i w:val="0"/>
          <w:iCs w:val="0"/>
          <w:caps w:val="0"/>
          <w:color w:val="000000"/>
          <w:spacing w:val="0"/>
          <w:sz w:val="21"/>
          <w:szCs w:val="21"/>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monospace"/>
          <w:i w:val="0"/>
          <w:iCs w:val="0"/>
          <w:caps w:val="0"/>
          <w:color w:val="000000"/>
          <w:spacing w:val="0"/>
          <w:sz w:val="21"/>
          <w:szCs w:val="21"/>
          <w:bdr w:val="none" w:color="auto" w:sz="0" w:space="0"/>
          <w:shd w:val="clear" w:fill="FFFFFF"/>
          <w:vertAlign w:val="baseline"/>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6"/>
        <w:gridCol w:w="1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6" w:type="dxa"/>
          </w:tcPr>
          <w:p>
            <w:pPr>
              <w:numPr>
                <w:ilvl w:val="0"/>
                <w:numId w:val="0"/>
              </w:numPr>
              <w:rPr>
                <w:rFonts w:hint="default"/>
                <w:vertAlign w:val="baseline"/>
                <w:lang w:val="en-US"/>
              </w:rPr>
            </w:pPr>
            <w:r>
              <w:rPr>
                <w:rFonts w:hint="default" w:ascii="Arial" w:hAnsi="Arial" w:eastAsia="monospace" w:cs="monospace"/>
                <w:i w:val="0"/>
                <w:iCs w:val="0"/>
                <w:color w:val="000000"/>
                <w:spacing w:val="0"/>
                <w:sz w:val="21"/>
                <w:szCs w:val="21"/>
                <w:shd w:val="clear" w:fill="FFFFFF"/>
                <w:vertAlign w:val="baseline"/>
                <w:lang w:val="en-US"/>
              </w:rPr>
              <w:t>W</w:t>
            </w:r>
            <w:r>
              <w:rPr>
                <w:rFonts w:hint="default" w:ascii="Arial" w:hAnsi="Arial" w:eastAsia="monospace" w:cs="monospace"/>
                <w:i w:val="0"/>
                <w:iCs w:val="0"/>
                <w:caps w:val="0"/>
                <w:color w:val="000000"/>
                <w:spacing w:val="0"/>
                <w:sz w:val="21"/>
                <w:szCs w:val="21"/>
                <w:shd w:val="clear" w:fill="FFFFFF"/>
                <w:vertAlign w:val="baseline"/>
                <w:lang w:val="en-US"/>
              </w:rPr>
              <w:t>ork year</w:t>
            </w:r>
          </w:p>
        </w:tc>
        <w:tc>
          <w:tcPr>
            <w:tcW w:w="1166" w:type="dxa"/>
          </w:tcPr>
          <w:p>
            <w:pPr>
              <w:numPr>
                <w:ilvl w:val="0"/>
                <w:numId w:val="0"/>
              </w:numPr>
              <w:rPr>
                <w:rFonts w:hint="default"/>
                <w:vertAlign w:val="baseline"/>
                <w:lang w:val="en-US"/>
              </w:rPr>
            </w:pPr>
            <w:r>
              <w:rPr>
                <w:rFonts w:hint="default"/>
                <w:vertAlign w:val="baseline"/>
                <w:lang w:val="en-US"/>
              </w:rPr>
              <w:t>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2023</w:t>
            </w:r>
          </w:p>
        </w:tc>
        <w:tc>
          <w:tcPr>
            <w:tcW w:w="1166" w:type="dxa"/>
          </w:tcPr>
          <w:p>
            <w:pPr>
              <w:numPr>
                <w:ilvl w:val="0"/>
                <w:numId w:val="0"/>
              </w:numPr>
              <w:rPr>
                <w:rFonts w:hint="default"/>
                <w:vertAlign w:val="baseline"/>
                <w:lang w:val="en-US"/>
              </w:rPr>
            </w:pPr>
            <w:r>
              <w:rPr>
                <w:rFonts w:hint="default"/>
                <w:vertAlign w:val="baseline"/>
                <w:lang w:val="en-US"/>
              </w:rPr>
              <w:t>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rPr>
              <w:t>Data Scientist</w:t>
            </w:r>
          </w:p>
        </w:tc>
        <w:tc>
          <w:tcPr>
            <w:tcW w:w="1166" w:type="dxa"/>
          </w:tcPr>
          <w:p>
            <w:pPr>
              <w:numPr>
                <w:ilvl w:val="0"/>
                <w:numId w:val="0"/>
              </w:numPr>
              <w:rPr>
                <w:rFonts w:hint="default"/>
                <w:vertAlign w:val="baseline"/>
                <w:lang w:val="en-US"/>
              </w:rPr>
            </w:pPr>
            <w:r>
              <w:rPr>
                <w:rFonts w:hint="default"/>
                <w:vertAlign w:val="baseline"/>
                <w:lang w:val="en-US"/>
              </w:rPr>
              <w:t>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rPr>
              <w:t>Data Analyst</w:t>
            </w:r>
          </w:p>
        </w:tc>
        <w:tc>
          <w:tcPr>
            <w:tcW w:w="1166" w:type="dxa"/>
          </w:tcPr>
          <w:p>
            <w:pPr>
              <w:numPr>
                <w:ilvl w:val="0"/>
                <w:numId w:val="0"/>
              </w:numPr>
              <w:rPr>
                <w:rFonts w:hint="default"/>
                <w:vertAlign w:val="baseline"/>
                <w:lang w:val="en-US"/>
              </w:rPr>
            </w:pPr>
            <w:r>
              <w:rPr>
                <w:rFonts w:hint="default"/>
                <w:vertAlign w:val="baseline"/>
                <w:lang w:val="en-US"/>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rPr>
              <w:t>Machine Learning Engineer</w:t>
            </w:r>
          </w:p>
        </w:tc>
        <w:tc>
          <w:tcPr>
            <w:tcW w:w="1166" w:type="dxa"/>
          </w:tcPr>
          <w:p>
            <w:pPr>
              <w:numPr>
                <w:ilvl w:val="0"/>
                <w:numId w:val="0"/>
              </w:numPr>
              <w:rPr>
                <w:rFonts w:hint="default"/>
                <w:vertAlign w:val="baseline"/>
                <w:lang w:val="en-US"/>
              </w:rPr>
            </w:pPr>
            <w:r>
              <w:rPr>
                <w:rFonts w:hint="default"/>
                <w:vertAlign w:val="baseline"/>
                <w:lang w:val="en-US"/>
              </w:rPr>
              <w:t>2.0%</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bdr w:val="none" w:color="auto" w:sz="0" w:space="0"/>
          <w:shd w:val="clear" w:fill="FFFFFF"/>
          <w:vertAlign w:val="baseline"/>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6"/>
        <w:gridCol w:w="1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 w:hRule="atLeast"/>
        </w:trPr>
        <w:tc>
          <w:tcPr>
            <w:tcW w:w="2946" w:type="dxa"/>
          </w:tcPr>
          <w:p>
            <w:pPr>
              <w:numPr>
                <w:ilvl w:val="0"/>
                <w:numId w:val="0"/>
              </w:numPr>
              <w:rPr>
                <w:rFonts w:hint="default"/>
                <w:vertAlign w:val="baseline"/>
                <w:lang w:val="en-US"/>
              </w:rPr>
            </w:pPr>
            <w:r>
              <w:rPr>
                <w:rFonts w:hint="default" w:ascii="Arial" w:hAnsi="Arial" w:eastAsia="monospace" w:cs="monospace"/>
                <w:i w:val="0"/>
                <w:iCs w:val="0"/>
                <w:color w:val="000000"/>
                <w:spacing w:val="0"/>
                <w:sz w:val="21"/>
                <w:szCs w:val="21"/>
                <w:shd w:val="clear" w:fill="FFFFFF"/>
                <w:vertAlign w:val="baseline"/>
                <w:lang w:val="en-US"/>
              </w:rPr>
              <w:t xml:space="preserve">Experience Level </w:t>
            </w:r>
          </w:p>
        </w:tc>
        <w:tc>
          <w:tcPr>
            <w:tcW w:w="1166" w:type="dxa"/>
          </w:tcPr>
          <w:p>
            <w:pPr>
              <w:numPr>
                <w:ilvl w:val="0"/>
                <w:numId w:val="0"/>
              </w:numPr>
              <w:rPr>
                <w:rFonts w:hint="default"/>
                <w:vertAlign w:val="baseline"/>
                <w:lang w:val="en-US"/>
              </w:rPr>
            </w:pPr>
            <w:r>
              <w:rPr>
                <w:rFonts w:hint="default"/>
                <w:vertAlign w:val="baseline"/>
                <w:lang w:val="en-US"/>
              </w:rPr>
              <w:t>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Entry Level</w:t>
            </w:r>
          </w:p>
        </w:tc>
        <w:tc>
          <w:tcPr>
            <w:tcW w:w="1166" w:type="dxa"/>
          </w:tcPr>
          <w:p>
            <w:pPr>
              <w:numPr>
                <w:ilvl w:val="0"/>
                <w:numId w:val="0"/>
              </w:numPr>
              <w:rPr>
                <w:rFonts w:hint="default"/>
                <w:vertAlign w:val="baseline"/>
                <w:lang w:val="en-US"/>
              </w:rPr>
            </w:pPr>
            <w:r>
              <w:rPr>
                <w:rFonts w:hint="default"/>
                <w:vertAlign w:val="baseline"/>
                <w:lang w:val="en-US"/>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Medium Level</w:t>
            </w:r>
          </w:p>
        </w:tc>
        <w:tc>
          <w:tcPr>
            <w:tcW w:w="1166" w:type="dxa"/>
          </w:tcPr>
          <w:p>
            <w:pPr>
              <w:numPr>
                <w:ilvl w:val="0"/>
                <w:numId w:val="0"/>
              </w:numPr>
              <w:rPr>
                <w:rFonts w:hint="default"/>
                <w:vertAlign w:val="baseline"/>
                <w:lang w:val="en-US"/>
              </w:rPr>
            </w:pPr>
            <w:r>
              <w:rPr>
                <w:rFonts w:hint="default"/>
                <w:vertAlign w:val="baseline"/>
                <w:lang w:val="en-US"/>
              </w:rPr>
              <w:t>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Senior Level</w:t>
            </w:r>
          </w:p>
        </w:tc>
        <w:tc>
          <w:tcPr>
            <w:tcW w:w="1166" w:type="dxa"/>
          </w:tcPr>
          <w:p>
            <w:pPr>
              <w:numPr>
                <w:ilvl w:val="0"/>
                <w:numId w:val="0"/>
              </w:numPr>
              <w:rPr>
                <w:rFonts w:hint="default"/>
                <w:vertAlign w:val="baseline"/>
                <w:lang w:val="en-US"/>
              </w:rPr>
            </w:pPr>
            <w:r>
              <w:rPr>
                <w:rFonts w:hint="default"/>
                <w:vertAlign w:val="baseline"/>
                <w:lang w:val="en-US"/>
              </w:rPr>
              <w:t>67.0%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 xml:space="preserve">Exective Level </w:t>
            </w:r>
          </w:p>
        </w:tc>
        <w:tc>
          <w:tcPr>
            <w:tcW w:w="1166" w:type="dxa"/>
          </w:tcPr>
          <w:p>
            <w:pPr>
              <w:numPr>
                <w:ilvl w:val="0"/>
                <w:numId w:val="0"/>
              </w:numPr>
              <w:rPr>
                <w:rFonts w:hint="default"/>
                <w:vertAlign w:val="baseline"/>
                <w:lang w:val="en-US"/>
              </w:rPr>
            </w:pPr>
            <w:r>
              <w:rPr>
                <w:rFonts w:hint="default"/>
                <w:vertAlign w:val="baseline"/>
                <w:lang w:val="en-US"/>
              </w:rPr>
              <w:t>3.0%</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bdr w:val="none" w:color="auto" w:sz="0" w:space="0"/>
          <w:shd w:val="clear" w:fill="FFFFFF"/>
          <w:vertAlign w:val="baseline"/>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6"/>
        <w:gridCol w:w="1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6" w:type="dxa"/>
          </w:tcPr>
          <w:p>
            <w:pPr>
              <w:numPr>
                <w:ilvl w:val="0"/>
                <w:numId w:val="0"/>
              </w:numPr>
              <w:rPr>
                <w:rFonts w:hint="default"/>
                <w:vertAlign w:val="baseline"/>
                <w:lang w:val="en-US"/>
              </w:rPr>
            </w:pPr>
            <w:r>
              <w:rPr>
                <w:rFonts w:hint="default" w:ascii="Arial" w:hAnsi="Arial" w:eastAsia="monospace" w:cs="monospace"/>
                <w:i w:val="0"/>
                <w:iCs w:val="0"/>
                <w:color w:val="000000"/>
                <w:spacing w:val="0"/>
                <w:sz w:val="21"/>
                <w:szCs w:val="21"/>
                <w:shd w:val="clear" w:fill="FFFFFF"/>
                <w:vertAlign w:val="baseline"/>
                <w:lang w:val="en-US"/>
              </w:rPr>
              <w:t>Remote Ratio</w:t>
            </w:r>
          </w:p>
        </w:tc>
        <w:tc>
          <w:tcPr>
            <w:tcW w:w="1166" w:type="dxa"/>
          </w:tcPr>
          <w:p>
            <w:pPr>
              <w:numPr>
                <w:ilvl w:val="0"/>
                <w:numId w:val="0"/>
              </w:numPr>
              <w:rPr>
                <w:rFonts w:hint="default"/>
                <w:vertAlign w:val="baseline"/>
                <w:lang w:val="en-US"/>
              </w:rPr>
            </w:pPr>
            <w:r>
              <w:rPr>
                <w:rFonts w:hint="default"/>
                <w:vertAlign w:val="baseline"/>
                <w:lang w:val="en-US"/>
              </w:rPr>
              <w:t>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0</w:t>
            </w:r>
          </w:p>
        </w:tc>
        <w:tc>
          <w:tcPr>
            <w:tcW w:w="1166" w:type="dxa"/>
          </w:tcPr>
          <w:p>
            <w:pPr>
              <w:numPr>
                <w:ilvl w:val="0"/>
                <w:numId w:val="0"/>
              </w:numPr>
              <w:rPr>
                <w:rFonts w:hint="default"/>
                <w:vertAlign w:val="baseline"/>
                <w:lang w:val="en-US"/>
              </w:rPr>
            </w:pPr>
            <w:r>
              <w:rPr>
                <w:rFonts w:hint="default"/>
                <w:vertAlign w:val="baseline"/>
                <w:lang w:val="en-US"/>
              </w:rPr>
              <w:t>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50</w:t>
            </w:r>
          </w:p>
        </w:tc>
        <w:tc>
          <w:tcPr>
            <w:tcW w:w="1166" w:type="dxa"/>
          </w:tcPr>
          <w:p>
            <w:pPr>
              <w:numPr>
                <w:ilvl w:val="0"/>
                <w:numId w:val="0"/>
              </w:numPr>
              <w:rPr>
                <w:rFonts w:hint="default"/>
                <w:vertAlign w:val="baseline"/>
                <w:lang w:val="en-US"/>
              </w:rPr>
            </w:pPr>
            <w:r>
              <w:rPr>
                <w:rFonts w:hint="default"/>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100</w:t>
            </w:r>
          </w:p>
        </w:tc>
        <w:tc>
          <w:tcPr>
            <w:tcW w:w="1166" w:type="dxa"/>
          </w:tcPr>
          <w:p>
            <w:pPr>
              <w:numPr>
                <w:ilvl w:val="0"/>
                <w:numId w:val="0"/>
              </w:numPr>
              <w:rPr>
                <w:rFonts w:hint="default"/>
                <w:vertAlign w:val="baseline"/>
                <w:lang w:val="en-US"/>
              </w:rPr>
            </w:pPr>
            <w:r>
              <w:rPr>
                <w:rFonts w:hint="default"/>
                <w:vertAlign w:val="baseline"/>
                <w:lang w:val="en-US"/>
              </w:rPr>
              <w:t>43.8%</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bdr w:val="none" w:color="auto" w:sz="0" w:space="0"/>
          <w:shd w:val="clear" w:fill="FFFFFF"/>
          <w:vertAlign w:val="baseline"/>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6"/>
        <w:gridCol w:w="1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6" w:type="dxa"/>
          </w:tcPr>
          <w:p>
            <w:pPr>
              <w:numPr>
                <w:ilvl w:val="0"/>
                <w:numId w:val="0"/>
              </w:numPr>
              <w:rPr>
                <w:rFonts w:hint="default"/>
                <w:vertAlign w:val="baseline"/>
                <w:lang w:val="en-US"/>
              </w:rPr>
            </w:pPr>
            <w:r>
              <w:rPr>
                <w:rFonts w:hint="default" w:ascii="Arial" w:hAnsi="Arial" w:eastAsia="monospace" w:cs="monospace"/>
                <w:i w:val="0"/>
                <w:iCs w:val="0"/>
                <w:color w:val="000000"/>
                <w:spacing w:val="0"/>
                <w:sz w:val="21"/>
                <w:szCs w:val="21"/>
                <w:shd w:val="clear" w:fill="FFFFFF"/>
                <w:vertAlign w:val="baseline"/>
                <w:lang w:val="en-US"/>
              </w:rPr>
              <w:t>Company Size</w:t>
            </w:r>
          </w:p>
        </w:tc>
        <w:tc>
          <w:tcPr>
            <w:tcW w:w="1166" w:type="dxa"/>
          </w:tcPr>
          <w:p>
            <w:pPr>
              <w:numPr>
                <w:ilvl w:val="0"/>
                <w:numId w:val="0"/>
              </w:numPr>
              <w:rPr>
                <w:rFonts w:hint="default"/>
                <w:vertAlign w:val="baseline"/>
                <w:lang w:val="en-US"/>
              </w:rPr>
            </w:pPr>
            <w:r>
              <w:rPr>
                <w:rFonts w:hint="default"/>
                <w:vertAlign w:val="baseline"/>
                <w:lang w:val="en-US"/>
              </w:rPr>
              <w:t>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 xml:space="preserve">Small </w:t>
            </w:r>
          </w:p>
        </w:tc>
        <w:tc>
          <w:tcPr>
            <w:tcW w:w="1166" w:type="dxa"/>
          </w:tcPr>
          <w:p>
            <w:pPr>
              <w:numPr>
                <w:ilvl w:val="0"/>
                <w:numId w:val="0"/>
              </w:numPr>
              <w:rPr>
                <w:rFonts w:hint="default"/>
                <w:vertAlign w:val="baseline"/>
                <w:lang w:val="en-US"/>
              </w:rPr>
            </w:pPr>
            <w:r>
              <w:rPr>
                <w:rFonts w:hint="default"/>
                <w:vertAlign w:val="baseline"/>
                <w:lang w:val="en-US"/>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Medium</w:t>
            </w:r>
          </w:p>
        </w:tc>
        <w:tc>
          <w:tcPr>
            <w:tcW w:w="1166" w:type="dxa"/>
          </w:tcPr>
          <w:p>
            <w:pPr>
              <w:numPr>
                <w:ilvl w:val="0"/>
                <w:numId w:val="0"/>
              </w:numPr>
              <w:rPr>
                <w:rFonts w:hint="default"/>
                <w:vertAlign w:val="baseline"/>
                <w:lang w:val="en-US"/>
              </w:rPr>
            </w:pPr>
            <w:r>
              <w:rPr>
                <w:rFonts w:hint="default"/>
                <w:vertAlign w:val="baseline"/>
                <w:lang w:val="en-US"/>
              </w:rPr>
              <w:t>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Large</w:t>
            </w:r>
          </w:p>
        </w:tc>
        <w:tc>
          <w:tcPr>
            <w:tcW w:w="1166" w:type="dxa"/>
          </w:tcPr>
          <w:p>
            <w:pPr>
              <w:numPr>
                <w:ilvl w:val="0"/>
                <w:numId w:val="0"/>
              </w:numPr>
              <w:rPr>
                <w:rFonts w:hint="default"/>
                <w:vertAlign w:val="baseline"/>
                <w:lang w:val="en-US"/>
              </w:rPr>
            </w:pPr>
            <w:r>
              <w:rPr>
                <w:rFonts w:hint="default"/>
                <w:vertAlign w:val="baseline"/>
                <w:lang w:val="en-US"/>
              </w:rPr>
              <w:t>12.1%</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bdr w:val="none" w:color="auto" w:sz="0" w:space="0"/>
          <w:shd w:val="clear" w:fill="FFFFFF"/>
          <w:vertAlign w:val="baseline"/>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6"/>
        <w:gridCol w:w="1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46" w:type="dxa"/>
          </w:tcPr>
          <w:p>
            <w:pPr>
              <w:numPr>
                <w:ilvl w:val="0"/>
                <w:numId w:val="0"/>
              </w:numPr>
              <w:rPr>
                <w:rFonts w:hint="default"/>
                <w:vertAlign w:val="baseline"/>
                <w:lang w:val="en-US"/>
              </w:rPr>
            </w:pPr>
            <w:r>
              <w:rPr>
                <w:rFonts w:hint="default" w:ascii="Arial" w:hAnsi="Arial" w:eastAsia="monospace" w:cs="monospace"/>
                <w:i w:val="0"/>
                <w:iCs w:val="0"/>
                <w:color w:val="000000"/>
                <w:spacing w:val="0"/>
                <w:sz w:val="21"/>
                <w:szCs w:val="21"/>
                <w:shd w:val="clear" w:fill="FFFFFF"/>
                <w:vertAlign w:val="baseline"/>
                <w:lang w:val="en-US"/>
              </w:rPr>
              <w:t>Employee Region</w:t>
            </w:r>
          </w:p>
        </w:tc>
        <w:tc>
          <w:tcPr>
            <w:tcW w:w="1166" w:type="dxa"/>
          </w:tcPr>
          <w:p>
            <w:pPr>
              <w:numPr>
                <w:ilvl w:val="0"/>
                <w:numId w:val="0"/>
              </w:numPr>
              <w:rPr>
                <w:rFonts w:hint="default"/>
                <w:vertAlign w:val="baseline"/>
                <w:lang w:val="en-US"/>
              </w:rPr>
            </w:pPr>
            <w:r>
              <w:rPr>
                <w:rFonts w:hint="default"/>
                <w:vertAlign w:val="baseline"/>
                <w:lang w:val="en-US"/>
              </w:rPr>
              <w:t>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6" w:type="dxa"/>
          </w:tcPr>
          <w:p>
            <w:pPr>
              <w:numPr>
                <w:ilvl w:val="0"/>
                <w:numId w:val="0"/>
              </w:numPr>
              <w:rPr>
                <w:rFonts w:hint="default" w:ascii="Arial" w:hAnsi="Arial" w:eastAsia="monospace" w:cs="monospace"/>
                <w:i w:val="0"/>
                <w:iCs w:val="0"/>
                <w:color w:val="000000"/>
                <w:spacing w:val="0"/>
                <w:sz w:val="21"/>
                <w:szCs w:val="21"/>
                <w:shd w:val="clear" w:fill="FFFFFF"/>
                <w:vertAlign w:val="baseline"/>
                <w:lang w:val="en-US"/>
              </w:rPr>
            </w:pPr>
            <w:r>
              <w:rPr>
                <w:rFonts w:hint="default" w:ascii="Arial" w:hAnsi="Arial" w:eastAsia="monospace" w:cs="monospace"/>
                <w:i w:val="0"/>
                <w:iCs w:val="0"/>
                <w:color w:val="000000"/>
                <w:spacing w:val="0"/>
                <w:sz w:val="21"/>
                <w:szCs w:val="21"/>
                <w:shd w:val="clear" w:fill="FFFFFF"/>
                <w:vertAlign w:val="baseline"/>
                <w:lang w:val="en-US"/>
              </w:rPr>
              <w:t>Africa</w:t>
            </w:r>
          </w:p>
        </w:tc>
        <w:tc>
          <w:tcPr>
            <w:tcW w:w="1166" w:type="dxa"/>
          </w:tcPr>
          <w:p>
            <w:pPr>
              <w:numPr>
                <w:ilvl w:val="0"/>
                <w:numId w:val="0"/>
              </w:numPr>
              <w:rPr>
                <w:rFonts w:hint="default"/>
                <w:vertAlign w:val="baseline"/>
                <w:lang w:val="en-US"/>
              </w:rPr>
            </w:pPr>
            <w:r>
              <w:rPr>
                <w:rFonts w:hint="default"/>
                <w:vertAlign w:val="baseline"/>
                <w:lang w:val="en-US"/>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Americas</w:t>
            </w:r>
          </w:p>
        </w:tc>
        <w:tc>
          <w:tcPr>
            <w:tcW w:w="1166" w:type="dxa"/>
          </w:tcPr>
          <w:p>
            <w:pPr>
              <w:numPr>
                <w:ilvl w:val="0"/>
                <w:numId w:val="0"/>
              </w:numPr>
              <w:rPr>
                <w:rFonts w:hint="default"/>
                <w:vertAlign w:val="baseline"/>
                <w:lang w:val="en-US"/>
              </w:rPr>
            </w:pPr>
            <w:r>
              <w:rPr>
                <w:rFonts w:hint="default"/>
                <w:vertAlign w:val="baseline"/>
                <w:lang w:val="en-US"/>
              </w:rPr>
              <w:t>83.6%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Asia</w:t>
            </w:r>
          </w:p>
        </w:tc>
        <w:tc>
          <w:tcPr>
            <w:tcW w:w="1166" w:type="dxa"/>
          </w:tcPr>
          <w:p>
            <w:pPr>
              <w:numPr>
                <w:ilvl w:val="0"/>
                <w:numId w:val="0"/>
              </w:numPr>
              <w:rPr>
                <w:rFonts w:hint="default"/>
                <w:vertAlign w:val="baseline"/>
                <w:lang w:val="en-US"/>
              </w:rPr>
            </w:pPr>
            <w:r>
              <w:rPr>
                <w:rFonts w:hint="default"/>
                <w:vertAlign w:val="baseline"/>
                <w:lang w:val="en-US"/>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Europe</w:t>
            </w:r>
          </w:p>
        </w:tc>
        <w:tc>
          <w:tcPr>
            <w:tcW w:w="1166" w:type="dxa"/>
          </w:tcPr>
          <w:p>
            <w:pPr>
              <w:numPr>
                <w:ilvl w:val="0"/>
                <w:numId w:val="0"/>
              </w:numPr>
              <w:rPr>
                <w:rFonts w:hint="default"/>
                <w:vertAlign w:val="baseline"/>
                <w:lang w:val="en-US"/>
              </w:rPr>
            </w:pPr>
            <w:r>
              <w:rPr>
                <w:rFonts w:hint="default"/>
                <w:vertAlign w:val="baseline"/>
                <w:lang w:val="en-US"/>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46" w:type="dxa"/>
          </w:tcPr>
          <w:p>
            <w:pPr>
              <w:numPr>
                <w:ilvl w:val="0"/>
                <w:numId w:val="0"/>
              </w:numPr>
              <w:rPr>
                <w:rFonts w:hint="default" w:ascii="Arial" w:hAnsi="Arial" w:eastAsia="monospace" w:cs="monospace"/>
                <w:i w:val="0"/>
                <w:iCs w:val="0"/>
                <w:caps w:val="0"/>
                <w:color w:val="000000"/>
                <w:spacing w:val="0"/>
                <w:sz w:val="21"/>
                <w:szCs w:val="21"/>
                <w:shd w:val="clear" w:fill="FFFFFF"/>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Oceania</w:t>
            </w:r>
          </w:p>
        </w:tc>
        <w:tc>
          <w:tcPr>
            <w:tcW w:w="1166" w:type="dxa"/>
          </w:tcPr>
          <w:p>
            <w:pPr>
              <w:numPr>
                <w:ilvl w:val="0"/>
                <w:numId w:val="0"/>
              </w:numPr>
              <w:rPr>
                <w:rFonts w:hint="default"/>
                <w:vertAlign w:val="baseline"/>
                <w:lang w:val="en-US"/>
              </w:rPr>
            </w:pPr>
            <w:r>
              <w:rPr>
                <w:rFonts w:hint="default"/>
                <w:vertAlign w:val="baseline"/>
                <w:lang w:val="en-US"/>
              </w:rPr>
              <w:t>0.4%</w:t>
            </w:r>
          </w:p>
        </w:tc>
      </w:tr>
    </w:tbl>
    <w:p>
      <w:pPr>
        <w:rPr>
          <w:rFonts w:hint="default"/>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6"/>
        <w:gridCol w:w="1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6" w:type="dxa"/>
          </w:tcPr>
          <w:p>
            <w:pPr>
              <w:numPr>
                <w:ilvl w:val="0"/>
                <w:numId w:val="0"/>
              </w:numPr>
              <w:rPr>
                <w:rFonts w:hint="default"/>
                <w:vertAlign w:val="baseline"/>
                <w:lang w:val="en-US"/>
              </w:rPr>
            </w:pPr>
            <w:r>
              <w:rPr>
                <w:rFonts w:hint="default" w:ascii="Arial" w:hAnsi="Arial" w:eastAsia="monospace" w:cs="monospace"/>
                <w:i w:val="0"/>
                <w:iCs w:val="0"/>
                <w:color w:val="000000"/>
                <w:spacing w:val="0"/>
                <w:sz w:val="21"/>
                <w:szCs w:val="21"/>
                <w:shd w:val="clear" w:fill="FFFFFF"/>
                <w:vertAlign w:val="baseline"/>
                <w:lang w:val="en-US"/>
              </w:rPr>
              <w:t>Company Region</w:t>
            </w:r>
          </w:p>
        </w:tc>
        <w:tc>
          <w:tcPr>
            <w:tcW w:w="1166" w:type="dxa"/>
          </w:tcPr>
          <w:p>
            <w:pPr>
              <w:numPr>
                <w:ilvl w:val="0"/>
                <w:numId w:val="0"/>
              </w:numPr>
              <w:rPr>
                <w:rFonts w:hint="default"/>
                <w:vertAlign w:val="baseline"/>
                <w:lang w:val="en-US"/>
              </w:rPr>
            </w:pPr>
            <w:r>
              <w:rPr>
                <w:rFonts w:hint="default"/>
                <w:vertAlign w:val="baseline"/>
                <w:lang w:val="en-US"/>
              </w:rPr>
              <w:t>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6" w:type="dxa"/>
          </w:tcPr>
          <w:p>
            <w:pPr>
              <w:numPr>
                <w:ilvl w:val="0"/>
                <w:numId w:val="0"/>
              </w:numPr>
              <w:rPr>
                <w:rFonts w:hint="default" w:ascii="Arial" w:hAnsi="Arial" w:eastAsia="monospace" w:cs="monospace"/>
                <w:i w:val="0"/>
                <w:iCs w:val="0"/>
                <w:color w:val="000000"/>
                <w:spacing w:val="0"/>
                <w:sz w:val="21"/>
                <w:szCs w:val="21"/>
                <w:shd w:val="clear" w:fill="FFFFFF"/>
                <w:vertAlign w:val="baseline"/>
                <w:lang w:val="en-US"/>
              </w:rPr>
            </w:pPr>
            <w:r>
              <w:rPr>
                <w:rFonts w:hint="default" w:ascii="Arial" w:hAnsi="Arial" w:eastAsia="monospace" w:cs="monospace"/>
                <w:i w:val="0"/>
                <w:iCs w:val="0"/>
                <w:color w:val="000000"/>
                <w:spacing w:val="0"/>
                <w:sz w:val="21"/>
                <w:szCs w:val="21"/>
                <w:shd w:val="clear" w:fill="FFFFFF"/>
                <w:vertAlign w:val="baseline"/>
                <w:lang w:val="en-US"/>
              </w:rPr>
              <w:t>Africa</w:t>
            </w:r>
          </w:p>
        </w:tc>
        <w:tc>
          <w:tcPr>
            <w:tcW w:w="1166" w:type="dxa"/>
          </w:tcPr>
          <w:p>
            <w:pPr>
              <w:numPr>
                <w:ilvl w:val="0"/>
                <w:numId w:val="0"/>
              </w:numPr>
              <w:rPr>
                <w:rFonts w:hint="default"/>
                <w:vertAlign w:val="baseline"/>
                <w:lang w:val="en-US"/>
              </w:rPr>
            </w:pPr>
            <w:r>
              <w:rPr>
                <w:rFonts w:hint="default"/>
                <w:vertAlign w:val="baseline"/>
                <w:lang w:val="en-US"/>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Americas</w:t>
            </w:r>
          </w:p>
        </w:tc>
        <w:tc>
          <w:tcPr>
            <w:tcW w:w="1166" w:type="dxa"/>
          </w:tcPr>
          <w:p>
            <w:pPr>
              <w:numPr>
                <w:ilvl w:val="0"/>
                <w:numId w:val="0"/>
              </w:numPr>
              <w:rPr>
                <w:rFonts w:hint="default"/>
                <w:vertAlign w:val="baseline"/>
                <w:lang w:val="en-US"/>
              </w:rPr>
            </w:pPr>
            <w:r>
              <w:rPr>
                <w:rFonts w:hint="default"/>
                <w:vertAlign w:val="baseline"/>
                <w:lang w:val="en-US"/>
              </w:rPr>
              <w:t>84.4%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Asia</w:t>
            </w:r>
          </w:p>
        </w:tc>
        <w:tc>
          <w:tcPr>
            <w:tcW w:w="1166" w:type="dxa"/>
          </w:tcPr>
          <w:p>
            <w:pPr>
              <w:numPr>
                <w:ilvl w:val="0"/>
                <w:numId w:val="0"/>
              </w:numPr>
              <w:rPr>
                <w:rFonts w:hint="default"/>
                <w:vertAlign w:val="baseline"/>
                <w:lang w:val="en-US"/>
              </w:rPr>
            </w:pPr>
            <w:r>
              <w:rPr>
                <w:rFonts w:hint="default"/>
                <w:vertAlign w:val="baseline"/>
                <w:lang w:val="en-US"/>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46" w:type="dxa"/>
          </w:tcPr>
          <w:p>
            <w:pPr>
              <w:numPr>
                <w:ilvl w:val="0"/>
                <w:numId w:val="0"/>
              </w:numPr>
              <w:rPr>
                <w:rFonts w:hint="default"/>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Europe</w:t>
            </w:r>
          </w:p>
        </w:tc>
        <w:tc>
          <w:tcPr>
            <w:tcW w:w="1166" w:type="dxa"/>
          </w:tcPr>
          <w:p>
            <w:pPr>
              <w:numPr>
                <w:ilvl w:val="0"/>
                <w:numId w:val="0"/>
              </w:numPr>
              <w:rPr>
                <w:rFonts w:hint="default"/>
                <w:vertAlign w:val="baseline"/>
                <w:lang w:val="en-US"/>
              </w:rPr>
            </w:pPr>
            <w:r>
              <w:rPr>
                <w:rFonts w:hint="default"/>
                <w:vertAlign w:val="baseline"/>
                <w:lang w:val="en-US"/>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6" w:type="dxa"/>
          </w:tcPr>
          <w:p>
            <w:pPr>
              <w:numPr>
                <w:ilvl w:val="0"/>
                <w:numId w:val="0"/>
              </w:numPr>
              <w:rPr>
                <w:rFonts w:hint="default" w:ascii="Arial" w:hAnsi="Arial" w:eastAsia="monospace" w:cs="monospace"/>
                <w:i w:val="0"/>
                <w:iCs w:val="0"/>
                <w:caps w:val="0"/>
                <w:color w:val="000000"/>
                <w:spacing w:val="0"/>
                <w:sz w:val="21"/>
                <w:szCs w:val="21"/>
                <w:shd w:val="clear" w:fill="FFFFFF"/>
                <w:vertAlign w:val="baseline"/>
                <w:lang w:val="en-US"/>
              </w:rPr>
            </w:pPr>
            <w:r>
              <w:rPr>
                <w:rFonts w:hint="default" w:ascii="Arial" w:hAnsi="Arial" w:eastAsia="monospace" w:cs="monospace"/>
                <w:i w:val="0"/>
                <w:iCs w:val="0"/>
                <w:caps w:val="0"/>
                <w:color w:val="000000"/>
                <w:spacing w:val="0"/>
                <w:sz w:val="21"/>
                <w:szCs w:val="21"/>
                <w:shd w:val="clear" w:fill="FFFFFF"/>
                <w:vertAlign w:val="baseline"/>
                <w:lang w:val="en-US"/>
              </w:rPr>
              <w:t>Oceania</w:t>
            </w:r>
          </w:p>
        </w:tc>
        <w:tc>
          <w:tcPr>
            <w:tcW w:w="1166" w:type="dxa"/>
          </w:tcPr>
          <w:p>
            <w:pPr>
              <w:numPr>
                <w:ilvl w:val="0"/>
                <w:numId w:val="0"/>
              </w:numPr>
              <w:rPr>
                <w:rFonts w:hint="default"/>
                <w:vertAlign w:val="baseline"/>
                <w:lang w:val="en-US"/>
              </w:rPr>
            </w:pPr>
            <w:r>
              <w:rPr>
                <w:rFonts w:hint="default"/>
                <w:vertAlign w:val="baseline"/>
                <w:lang w:val="en-US"/>
              </w:rPr>
              <w:t>0.5%</w:t>
            </w:r>
          </w:p>
        </w:tc>
      </w:tr>
    </w:tbl>
    <w:p>
      <w:pPr>
        <w:rPr>
          <w:rFonts w:hint="default"/>
          <w:lang w:val="en-US"/>
        </w:rPr>
      </w:pPr>
    </w:p>
    <w:p>
      <w:pPr>
        <w:rPr>
          <w:rFonts w:hint="default"/>
          <w:lang w:val="en-US"/>
        </w:rPr>
      </w:pPr>
    </w:p>
    <w:p>
      <w:pPr>
        <w:numPr>
          <w:ilvl w:val="0"/>
          <w:numId w:val="1"/>
        </w:numPr>
        <w:ind w:left="200" w:leftChars="0" w:firstLine="0" w:firstLineChars="0"/>
        <w:rPr>
          <w:rFonts w:hint="default"/>
          <w:lang w:val="en-US"/>
        </w:rPr>
      </w:pPr>
      <w:r>
        <w:rPr>
          <w:rFonts w:hint="default"/>
          <w:lang w:val="en-US"/>
        </w:rPr>
        <w:t xml:space="preserve">Cramer’s V correlation between Employee_region and company_region is 0.86. out of 3755 records, ~98.5% having Employee_region same as  company_region, and only 58 records Employee_region and company_region are not the same.  </w:t>
      </w:r>
      <w:r>
        <w:rPr>
          <w:rFonts w:hint="default"/>
          <w:u w:val="single"/>
          <w:lang w:val="en-US"/>
        </w:rPr>
        <w:t xml:space="preserve">See Cramer’s V heatmap. </w:t>
      </w:r>
      <w:r>
        <w:rPr>
          <w:rFonts w:hint="default"/>
          <w:lang w:val="en-US"/>
        </w:rPr>
        <w:drawing>
          <wp:inline distT="0" distB="0" distL="114300" distR="114300">
            <wp:extent cx="2687955" cy="2731770"/>
            <wp:effectExtent l="0" t="0" r="17145" b="11430"/>
            <wp:docPr id="3" name="Picture 3" descr="Cramers V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ramers V heatmap"/>
                    <pic:cNvPicPr>
                      <a:picLocks noChangeAspect="1"/>
                    </pic:cNvPicPr>
                  </pic:nvPicPr>
                  <pic:blipFill>
                    <a:blip r:embed="rId4"/>
                    <a:stretch>
                      <a:fillRect/>
                    </a:stretch>
                  </pic:blipFill>
                  <pic:spPr>
                    <a:xfrm>
                      <a:off x="0" y="0"/>
                      <a:ext cx="2687955" cy="2731770"/>
                    </a:xfrm>
                    <a:prstGeom prst="rect">
                      <a:avLst/>
                    </a:prstGeom>
                  </pic:spPr>
                </pic:pic>
              </a:graphicData>
            </a:graphic>
          </wp:inline>
        </w:drawing>
      </w:r>
    </w:p>
    <w:p>
      <w:pPr>
        <w:numPr>
          <w:ilvl w:val="0"/>
          <w:numId w:val="1"/>
        </w:numPr>
        <w:ind w:left="200" w:leftChars="0" w:firstLine="0" w:firstLineChars="0"/>
        <w:rPr>
          <w:rFonts w:hint="default"/>
          <w:lang w:val="en-US"/>
        </w:rPr>
      </w:pPr>
      <w:r>
        <w:rPr>
          <w:rFonts w:hint="default"/>
          <w:lang w:val="en-US"/>
        </w:rPr>
        <w:t>Visual exploration of influence of factors on  salary.</w:t>
      </w:r>
    </w:p>
    <w:p>
      <w:pPr>
        <w:numPr>
          <w:numId w:val="0"/>
        </w:numPr>
        <w:ind w:leftChars="0"/>
        <w:rPr>
          <w:rFonts w:hint="default"/>
          <w:lang w:val="en-US"/>
        </w:rPr>
      </w:pPr>
    </w:p>
    <w:p>
      <w:pPr>
        <w:numPr>
          <w:ilvl w:val="0"/>
          <w:numId w:val="2"/>
        </w:numPr>
        <w:ind w:left="420" w:leftChars="0" w:hanging="420" w:firstLineChars="0"/>
        <w:rPr>
          <w:rFonts w:hint="default"/>
          <w:lang w:val="en-US"/>
        </w:rPr>
      </w:pPr>
      <w:r>
        <w:rPr>
          <w:rFonts w:hint="default"/>
          <w:lang w:val="en-US"/>
        </w:rPr>
        <w:t xml:space="preserve"> As exepcted, more experience means higher earning.  Executives make the least,  which might be because administration does not pay as high.The highest earning are people with senior level experience. </w:t>
      </w:r>
    </w:p>
    <w:p>
      <w:pPr>
        <w:numPr>
          <w:numId w:val="0"/>
        </w:numPr>
        <w:ind w:leftChars="0"/>
        <w:rPr>
          <w:rFonts w:hint="default"/>
          <w:lang w:val="en-US"/>
        </w:rPr>
      </w:pPr>
    </w:p>
    <w:p>
      <w:pPr>
        <w:numPr>
          <w:ilvl w:val="0"/>
          <w:numId w:val="2"/>
        </w:numPr>
        <w:ind w:left="420" w:leftChars="0" w:hanging="420" w:firstLineChars="0"/>
        <w:rPr>
          <w:rFonts w:hint="default"/>
          <w:lang w:val="en-US"/>
        </w:rPr>
      </w:pPr>
      <w:r>
        <w:rPr>
          <w:rFonts w:hint="default"/>
          <w:lang w:val="en-US"/>
        </w:rPr>
        <w:t xml:space="preserve">Medium-sized companies pay significantly more, followed by large-sized and then small companies.  </w:t>
      </w:r>
    </w:p>
    <w:p>
      <w:pPr>
        <w:numPr>
          <w:numId w:val="0"/>
        </w:numPr>
        <w:ind w:leftChars="0"/>
        <w:rPr>
          <w:rFonts w:hint="default"/>
          <w:lang w:val="en-US"/>
        </w:rPr>
      </w:pPr>
    </w:p>
    <w:p>
      <w:pPr>
        <w:numPr>
          <w:ilvl w:val="0"/>
          <w:numId w:val="2"/>
        </w:numPr>
        <w:ind w:left="420" w:leftChars="0" w:hanging="420" w:firstLineChars="0"/>
        <w:rPr>
          <w:rFonts w:hint="default"/>
          <w:lang w:val="en-US"/>
        </w:rPr>
      </w:pPr>
      <w:r>
        <w:rPr>
          <w:rFonts w:hint="default"/>
          <w:lang w:val="en-US"/>
        </w:rPr>
        <w:t>In the past four years (2020-2023), pay for dada science jobs has increased quite a bit, with the big leap happened  going  from 2021 to 2022).</w:t>
      </w:r>
    </w:p>
    <w:p>
      <w:pPr>
        <w:numPr>
          <w:numId w:val="0"/>
        </w:numPr>
        <w:ind w:leftChars="0"/>
        <w:rPr>
          <w:rFonts w:hint="default"/>
          <w:lang w:val="en-US"/>
        </w:rPr>
      </w:pPr>
    </w:p>
    <w:p>
      <w:pPr>
        <w:numPr>
          <w:ilvl w:val="0"/>
          <w:numId w:val="2"/>
        </w:numPr>
        <w:ind w:left="420" w:leftChars="0" w:hanging="420" w:firstLineChars="0"/>
        <w:rPr>
          <w:rFonts w:hint="default"/>
          <w:lang w:val="en-US"/>
        </w:rPr>
      </w:pPr>
      <w:r>
        <w:rPr>
          <w:rFonts w:hint="default"/>
          <w:lang w:val="en-US"/>
        </w:rPr>
        <w:t>Working exclusively on-site or exclusively remote  both get paid more than hybrid, with on-site  slightly higher than remote. The reason could be people work hybrid only work part-time and get paid less due to shorter hour</w:t>
      </w:r>
    </w:p>
    <w:p>
      <w:pPr>
        <w:numPr>
          <w:numId w:val="0"/>
        </w:numPr>
        <w:ind w:left="200" w:leftChars="0"/>
        <w:rPr>
          <w:rFonts w:hint="default"/>
          <w:lang w:val="en-US"/>
        </w:rPr>
      </w:pPr>
      <w:r>
        <w:rPr>
          <w:rFonts w:hint="default"/>
          <w:lang w:val="en-US"/>
        </w:rPr>
        <w:t xml:space="preserve">                                                        </w:t>
      </w:r>
      <w:r>
        <w:rPr>
          <w:rFonts w:hint="default"/>
          <w:lang w:val="en-US"/>
        </w:rPr>
        <w:drawing>
          <wp:inline distT="0" distB="0" distL="114300" distR="114300">
            <wp:extent cx="2146935" cy="2362835"/>
            <wp:effectExtent l="0" t="0" r="5715" b="18415"/>
            <wp:docPr id="1" name="Picture 1" descr="Distribution of Salary by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stribution of Salary by Features"/>
                    <pic:cNvPicPr>
                      <a:picLocks noChangeAspect="1"/>
                    </pic:cNvPicPr>
                  </pic:nvPicPr>
                  <pic:blipFill>
                    <a:blip r:embed="rId5"/>
                    <a:stretch>
                      <a:fillRect/>
                    </a:stretch>
                  </pic:blipFill>
                  <pic:spPr>
                    <a:xfrm>
                      <a:off x="0" y="0"/>
                      <a:ext cx="2146935" cy="2362835"/>
                    </a:xfrm>
                    <a:prstGeom prst="rect">
                      <a:avLst/>
                    </a:prstGeom>
                  </pic:spPr>
                </pic:pic>
              </a:graphicData>
            </a:graphic>
          </wp:inline>
        </w:drawing>
      </w:r>
    </w:p>
    <w:p>
      <w:pPr>
        <w:numPr>
          <w:ilvl w:val="0"/>
          <w:numId w:val="3"/>
        </w:numPr>
        <w:ind w:left="420" w:leftChars="0" w:hanging="420" w:firstLineChars="0"/>
        <w:rPr>
          <w:rFonts w:hint="default"/>
          <w:lang w:val="en-US"/>
        </w:rPr>
      </w:pPr>
      <w:r>
        <w:rPr>
          <w:rFonts w:hint="default"/>
          <w:lang w:val="en-US"/>
        </w:rPr>
        <w:t xml:space="preserve">Compsny region matters too. Among the five regions where our data science job records were collected, Americas, Europe,Oceania, Africa and Asia, salary goes in an decreasing order,  with Americas pay employee significantly higher than the rest four.  Nonetheless, more experience means higher pay regardless of region. </w:t>
      </w:r>
    </w:p>
    <w:p>
      <w:pPr>
        <w:numPr>
          <w:numId w:val="0"/>
        </w:numPr>
        <w:rPr>
          <w:rFonts w:hint="default"/>
          <w:lang w:val="en-US"/>
        </w:rPr>
      </w:pPr>
    </w:p>
    <w:p>
      <w:pPr>
        <w:numPr>
          <w:numId w:val="0"/>
        </w:numPr>
        <w:rPr>
          <w:rFonts w:hint="default"/>
          <w:lang w:val="en-US"/>
        </w:rPr>
      </w:pPr>
    </w:p>
    <w:p>
      <w:pPr>
        <w:numPr>
          <w:numId w:val="0"/>
        </w:numPr>
        <w:ind w:left="200" w:leftChars="0"/>
        <w:rPr>
          <w:rFonts w:hint="default"/>
          <w:lang w:val="en-US"/>
        </w:rPr>
      </w:pPr>
      <w:r>
        <w:rPr>
          <w:rFonts w:hint="default"/>
          <w:lang w:val="en-US"/>
        </w:rPr>
        <w:t xml:space="preserve">           </w:t>
      </w:r>
      <w:r>
        <w:rPr>
          <w:rFonts w:hint="default"/>
          <w:lang w:val="en-US"/>
        </w:rPr>
        <w:drawing>
          <wp:inline distT="0" distB="0" distL="114300" distR="114300">
            <wp:extent cx="2284095" cy="1664335"/>
            <wp:effectExtent l="0" t="0" r="1905" b="12065"/>
            <wp:docPr id="5" name="Picture 5" descr="boxplot of salary by region 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oxplot of salary by region overall"/>
                    <pic:cNvPicPr>
                      <a:picLocks noChangeAspect="1"/>
                    </pic:cNvPicPr>
                  </pic:nvPicPr>
                  <pic:blipFill>
                    <a:blip r:embed="rId6"/>
                    <a:stretch>
                      <a:fillRect/>
                    </a:stretch>
                  </pic:blipFill>
                  <pic:spPr>
                    <a:xfrm>
                      <a:off x="0" y="0"/>
                      <a:ext cx="2284095" cy="1664335"/>
                    </a:xfrm>
                    <a:prstGeom prst="rect">
                      <a:avLst/>
                    </a:prstGeom>
                  </pic:spPr>
                </pic:pic>
              </a:graphicData>
            </a:graphic>
          </wp:inline>
        </w:drawing>
      </w:r>
      <w:r>
        <w:rPr>
          <w:rFonts w:hint="default"/>
          <w:lang w:val="en-US"/>
        </w:rPr>
        <w:t xml:space="preserve">  </w:t>
      </w:r>
      <w:r>
        <w:rPr>
          <w:rFonts w:hint="default"/>
          <w:lang w:val="en-US"/>
        </w:rPr>
        <w:drawing>
          <wp:inline distT="0" distB="0" distL="114300" distR="114300">
            <wp:extent cx="2397125" cy="2699385"/>
            <wp:effectExtent l="0" t="0" r="3175" b="5715"/>
            <wp:docPr id="2" name="Picture 2" descr="salary by region_ ad employment_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alary by region_ ad employment_level"/>
                    <pic:cNvPicPr>
                      <a:picLocks noChangeAspect="1"/>
                    </pic:cNvPicPr>
                  </pic:nvPicPr>
                  <pic:blipFill>
                    <a:blip r:embed="rId7"/>
                    <a:stretch>
                      <a:fillRect/>
                    </a:stretch>
                  </pic:blipFill>
                  <pic:spPr>
                    <a:xfrm>
                      <a:off x="0" y="0"/>
                      <a:ext cx="2397125" cy="2699385"/>
                    </a:xfrm>
                    <a:prstGeom prst="rect">
                      <a:avLst/>
                    </a:prstGeom>
                  </pic:spPr>
                </pic:pic>
              </a:graphicData>
            </a:graphic>
          </wp:inline>
        </w:drawing>
      </w:r>
    </w:p>
    <w:p>
      <w:pPr>
        <w:numPr>
          <w:numId w:val="0"/>
        </w:numPr>
        <w:ind w:left="200" w:leftChars="0"/>
        <w:rPr>
          <w:rFonts w:hint="default"/>
          <w:lang w:val="en-US"/>
        </w:rPr>
      </w:pPr>
    </w:p>
    <w:p>
      <w:pPr>
        <w:numPr>
          <w:numId w:val="0"/>
        </w:numPr>
        <w:ind w:left="200" w:leftChars="0"/>
        <w:rPr>
          <w:rFonts w:hint="default"/>
          <w:lang w:val="en-US"/>
        </w:rPr>
      </w:pPr>
    </w:p>
    <w:p>
      <w:pPr>
        <w:numPr>
          <w:ilvl w:val="0"/>
          <w:numId w:val="3"/>
        </w:numPr>
        <w:ind w:left="420" w:leftChars="0" w:hanging="420" w:firstLineChars="0"/>
      </w:pPr>
      <w:r>
        <w:rPr>
          <w:rFonts w:hint="default"/>
          <w:lang w:val="en-US"/>
        </w:rPr>
        <w:t xml:space="preserve">Top 10 most common/popular data science jobs are highest paid jobs are </w:t>
      </w:r>
      <w:r>
        <w:rPr>
          <w:rFonts w:hint="default"/>
        </w:rPr>
        <w:t>Data Engineer</w:t>
      </w:r>
      <w:r>
        <w:rPr>
          <w:rFonts w:hint="default"/>
          <w:lang w:val="en-US"/>
        </w:rPr>
        <w:t>,</w:t>
      </w:r>
      <w:r>
        <w:rPr>
          <w:rFonts w:hint="default"/>
        </w:rPr>
        <w:t>Data Scientist</w:t>
      </w:r>
      <w:r>
        <w:rPr>
          <w:rFonts w:hint="default"/>
          <w:lang w:val="en-US"/>
        </w:rPr>
        <w:t xml:space="preserve">, </w:t>
      </w:r>
      <w:r>
        <w:rPr>
          <w:rFonts w:hint="default"/>
        </w:rPr>
        <w:t>Data Analyst</w:t>
      </w:r>
      <w:r>
        <w:rPr>
          <w:rFonts w:hint="default"/>
          <w:lang w:val="en-US"/>
        </w:rPr>
        <w:t xml:space="preserve">, </w:t>
      </w:r>
      <w:r>
        <w:rPr>
          <w:rFonts w:hint="default"/>
        </w:rPr>
        <w:t>Machine Learning Engineer</w:t>
      </w:r>
      <w:r>
        <w:rPr>
          <w:rFonts w:hint="default"/>
          <w:lang w:val="en-US"/>
        </w:rPr>
        <w:t xml:space="preserve">, </w:t>
      </w:r>
      <w:r>
        <w:rPr>
          <w:rFonts w:hint="default"/>
        </w:rPr>
        <w:t>Analytics Engineer</w:t>
      </w:r>
      <w:r>
        <w:rPr>
          <w:rFonts w:hint="default"/>
          <w:lang w:val="en-US"/>
        </w:rPr>
        <w:t xml:space="preserve">, </w:t>
      </w:r>
      <w:r>
        <w:rPr>
          <w:rFonts w:hint="default"/>
        </w:rPr>
        <w:t>Data Architect</w:t>
      </w:r>
      <w:r>
        <w:rPr>
          <w:rFonts w:hint="default"/>
          <w:lang w:val="en-US"/>
        </w:rPr>
        <w:t xml:space="preserve">, </w:t>
      </w:r>
      <w:r>
        <w:rPr>
          <w:rFonts w:hint="default"/>
        </w:rPr>
        <w:t>Research Scientist</w:t>
      </w:r>
      <w:r>
        <w:rPr>
          <w:rFonts w:hint="default"/>
          <w:lang w:val="en-US"/>
        </w:rPr>
        <w:t xml:space="preserve">, </w:t>
      </w:r>
      <w:r>
        <w:rPr>
          <w:rFonts w:hint="default"/>
        </w:rPr>
        <w:t>Data Science Manager</w:t>
      </w:r>
      <w:r>
        <w:rPr>
          <w:rFonts w:hint="default"/>
          <w:lang w:val="en-US"/>
        </w:rPr>
        <w:t xml:space="preserve">, </w:t>
      </w:r>
      <w:r>
        <w:rPr>
          <w:rFonts w:hint="default"/>
        </w:rPr>
        <w:t>Applied Scientist</w:t>
      </w:r>
      <w:r>
        <w:rPr>
          <w:rFonts w:hint="default"/>
          <w:lang w:val="en-US"/>
        </w:rPr>
        <w:t xml:space="preserve">, </w:t>
      </w:r>
      <w:r>
        <w:rPr>
          <w:rFonts w:hint="default"/>
        </w:rPr>
        <w:t>Research Engineer</w:t>
      </w:r>
      <w:r>
        <w:rPr>
          <w:rFonts w:hint="default"/>
          <w:lang w:val="en-US"/>
        </w:rPr>
        <w:t xml:space="preserve">. Their  average annual are listed below in a decreasing order. </w:t>
      </w:r>
    </w:p>
    <w:p>
      <w:pPr>
        <w:numPr>
          <w:numId w:val="0"/>
        </w:numPr>
        <w:ind w:leftChars="0"/>
        <w:rPr>
          <w:rFonts w:hint="default"/>
          <w:lang w:val="en-US"/>
        </w:rPr>
      </w:pPr>
    </w:p>
    <w:p>
      <w:pPr>
        <w:numPr>
          <w:numId w:val="0"/>
        </w:numPr>
        <w:ind w:leftChars="0"/>
        <w:rPr>
          <w:rFonts w:hint="default"/>
          <w:lang w:val="en-US"/>
        </w:rPr>
      </w:pPr>
      <w:r>
        <w:rPr>
          <w:rFonts w:hint="default"/>
          <w:lang w:val="en-US"/>
        </w:rPr>
        <w:t xml:space="preserve">    </w:t>
      </w:r>
      <w:r>
        <w:rPr>
          <w:rFonts w:hint="default"/>
          <w:lang w:val="en-US"/>
        </w:rPr>
        <w:drawing>
          <wp:inline distT="0" distB="0" distL="114300" distR="114300">
            <wp:extent cx="2675255" cy="1734185"/>
            <wp:effectExtent l="0" t="0" r="10795" b="18415"/>
            <wp:docPr id="4" name="Picture 4" descr="barplot of salary by job_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plot of salary by job_titles"/>
                    <pic:cNvPicPr>
                      <a:picLocks noChangeAspect="1"/>
                    </pic:cNvPicPr>
                  </pic:nvPicPr>
                  <pic:blipFill>
                    <a:blip r:embed="rId8"/>
                    <a:stretch>
                      <a:fillRect/>
                    </a:stretch>
                  </pic:blipFill>
                  <pic:spPr>
                    <a:xfrm>
                      <a:off x="0" y="0"/>
                      <a:ext cx="2675255" cy="1734185"/>
                    </a:xfrm>
                    <a:prstGeom prst="rect">
                      <a:avLst/>
                    </a:prstGeom>
                  </pic:spPr>
                </pic:pic>
              </a:graphicData>
            </a:graphic>
          </wp:inline>
        </w:drawing>
      </w:r>
    </w:p>
    <w:p>
      <w:pPr>
        <w:numPr>
          <w:numId w:val="0"/>
        </w:numPr>
        <w:ind w:leftChars="0"/>
        <w:rPr>
          <w:rFonts w:hint="default"/>
          <w:lang w:val="en-US"/>
        </w:rPr>
      </w:pPr>
    </w:p>
    <w:p>
      <w:pPr>
        <w:numPr>
          <w:numId w:val="0"/>
        </w:numPr>
        <w:ind w:leftChars="0"/>
        <w:rPr>
          <w:rFonts w:hint="default"/>
          <w:b/>
          <w:bCs/>
          <w:sz w:val="32"/>
          <w:szCs w:val="32"/>
          <w:u w:val="single"/>
          <w:lang w:val="en-US"/>
        </w:rPr>
      </w:pPr>
      <w:r>
        <w:rPr>
          <w:rFonts w:hint="default"/>
          <w:b/>
          <w:bCs/>
          <w:sz w:val="32"/>
          <w:szCs w:val="32"/>
          <w:u w:val="single"/>
          <w:lang w:val="en-US"/>
        </w:rPr>
        <w:t xml:space="preserve">Modeling </w:t>
      </w:r>
    </w:p>
    <w:p>
      <w:pPr>
        <w:numPr>
          <w:numId w:val="0"/>
        </w:numPr>
        <w:ind w:leftChars="0"/>
        <w:rPr>
          <w:rFonts w:hint="default"/>
          <w:b/>
          <w:bCs/>
          <w:sz w:val="32"/>
          <w:szCs w:val="32"/>
          <w:u w:val="singl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cs="Calibri"/>
          <w:b w:val="0"/>
          <w:bCs w:val="0"/>
          <w:sz w:val="21"/>
          <w:szCs w:val="21"/>
          <w:u w:val="none"/>
          <w:lang w:val="en-US"/>
        </w:rPr>
      </w:pPr>
      <w:r>
        <w:rPr>
          <w:rFonts w:hint="default" w:ascii="Calibri" w:hAnsi="Calibri" w:cs="Calibri"/>
          <w:b w:val="0"/>
          <w:bCs w:val="0"/>
          <w:sz w:val="21"/>
          <w:szCs w:val="21"/>
          <w:u w:val="none"/>
          <w:lang w:val="en-US"/>
        </w:rPr>
        <w:t xml:space="preserve">Random Forest regression  was applied and hyperparameter are tuned by GridSearchCV. </w:t>
      </w:r>
      <w:r>
        <w:rPr>
          <w:rFonts w:hint="default" w:ascii="Calibri" w:hAnsi="Calibri" w:cs="Calibri"/>
          <w:b w:val="0"/>
          <w:bCs w:val="0"/>
          <w:sz w:val="21"/>
          <w:szCs w:val="21"/>
          <w:u w:val="none"/>
          <w:lang w:val="en-US"/>
        </w:rPr>
        <w:t xml:space="preserve">All features were entered as categorical.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cs="Calibri"/>
          <w:b w:val="0"/>
          <w:bCs w:val="0"/>
          <w:sz w:val="21"/>
          <w:szCs w:val="21"/>
          <w:u w:val="no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i w:val="0"/>
          <w:iCs w:val="0"/>
          <w:caps w:val="0"/>
          <w:color w:val="000000"/>
          <w:spacing w:val="0"/>
          <w:sz w:val="21"/>
          <w:szCs w:val="21"/>
          <w:bdr w:val="none" w:color="auto" w:sz="0" w:space="0"/>
          <w:shd w:val="clear" w:fill="FFFFFF"/>
          <w:vertAlign w:val="baseline"/>
        </w:rPr>
      </w:pPr>
      <w:r>
        <w:rPr>
          <w:rFonts w:hint="default" w:ascii="Calibri" w:hAnsi="Calibri" w:eastAsia="monospace" w:cs="Calibri"/>
          <w:i w:val="0"/>
          <w:iCs w:val="0"/>
          <w:caps w:val="0"/>
          <w:color w:val="000000"/>
          <w:spacing w:val="0"/>
          <w:sz w:val="21"/>
          <w:szCs w:val="21"/>
          <w:bdr w:val="none" w:color="auto" w:sz="0" w:space="0"/>
          <w:shd w:val="clear" w:fill="FFFFFF"/>
          <w:vertAlign w:val="baseline"/>
        </w:rPr>
        <w:t xml:space="preserve">GridsearchCV best parameters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i w:val="0"/>
          <w:iCs w:val="0"/>
          <w:caps w:val="0"/>
          <w:color w:val="000000"/>
          <w:spacing w:val="0"/>
          <w:sz w:val="21"/>
          <w:szCs w:val="21"/>
          <w:bdr w:val="none" w:color="auto" w:sz="0" w:space="0"/>
          <w:shd w:val="clear" w:fill="FFFFFF"/>
          <w:vertAlign w:val="baseline"/>
        </w:rPr>
      </w:pPr>
      <w:r>
        <w:rPr>
          <w:rFonts w:hint="default" w:ascii="Calibri" w:hAnsi="Calibri" w:eastAsia="monospace" w:cs="Calibri"/>
          <w:i w:val="0"/>
          <w:iCs w:val="0"/>
          <w:caps w:val="0"/>
          <w:color w:val="000000"/>
          <w:spacing w:val="0"/>
          <w:sz w:val="21"/>
          <w:szCs w:val="21"/>
          <w:bdr w:val="none" w:color="auto" w:sz="0" w:space="0"/>
          <w:shd w:val="clear" w:fill="FFFFFF"/>
          <w:vertAlign w:val="baseline"/>
        </w:rPr>
        <w:tab/>
        <w:t>{'max_depth': 5, 'n_estimators': 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i w:val="0"/>
          <w:iCs w:val="0"/>
          <w:caps w:val="0"/>
          <w:color w:val="000000"/>
          <w:spacing w:val="0"/>
          <w:sz w:val="21"/>
          <w:szCs w:val="21"/>
          <w:bdr w:val="none" w:color="auto" w:sz="0" w:space="0"/>
          <w:shd w:val="clear" w:fill="FFFFFF"/>
          <w:vertAlign w:val="baseline"/>
        </w:rPr>
      </w:pPr>
      <w:r>
        <w:rPr>
          <w:rFonts w:hint="default" w:ascii="Calibri" w:hAnsi="Calibri" w:eastAsia="monospace" w:cs="Calibri"/>
          <w:i w:val="0"/>
          <w:iCs w:val="0"/>
          <w:caps w:val="0"/>
          <w:color w:val="000000"/>
          <w:spacing w:val="0"/>
          <w:sz w:val="21"/>
          <w:szCs w:val="21"/>
          <w:bdr w:val="none" w:color="auto" w:sz="0" w:space="0"/>
          <w:shd w:val="clear" w:fill="FFFFFF"/>
          <w:vertAlign w:val="baseline"/>
        </w:rPr>
        <w:t>GridsearchCV R-squared:0.371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i w:val="0"/>
          <w:iCs w:val="0"/>
          <w:caps w:val="0"/>
          <w:color w:val="000000"/>
          <w:spacing w:val="0"/>
          <w:sz w:val="21"/>
          <w:szCs w:val="21"/>
        </w:rPr>
      </w:pPr>
      <w:r>
        <w:rPr>
          <w:rFonts w:hint="default" w:ascii="Calibri" w:hAnsi="Calibri" w:eastAsia="monospace" w:cs="Calibri"/>
          <w:i w:val="0"/>
          <w:iCs w:val="0"/>
          <w:caps w:val="0"/>
          <w:color w:val="000000"/>
          <w:spacing w:val="0"/>
          <w:sz w:val="21"/>
          <w:szCs w:val="21"/>
          <w:bdr w:val="none" w:color="auto" w:sz="0" w:space="0"/>
          <w:shd w:val="clear" w:fill="FFFFFF"/>
          <w:vertAlign w:val="baseline"/>
        </w:rPr>
        <w:t>GridsearchCV Adjusted R-squared:0.362</w:t>
      </w:r>
    </w:p>
    <w:p>
      <w:pPr>
        <w:numPr>
          <w:numId w:val="0"/>
        </w:numPr>
        <w:ind w:leftChars="0"/>
        <w:rPr>
          <w:rFonts w:hint="default"/>
          <w:b w:val="0"/>
          <w:bCs w:val="0"/>
          <w:sz w:val="21"/>
          <w:szCs w:val="21"/>
          <w:u w:val="none"/>
          <w:lang w:val="en-US"/>
        </w:rPr>
      </w:pPr>
    </w:p>
    <w:p>
      <w:pPr>
        <w:numPr>
          <w:numId w:val="0"/>
        </w:numPr>
        <w:ind w:leftChars="0"/>
        <w:rPr>
          <w:rFonts w:hint="default"/>
          <w:b w:val="0"/>
          <w:bCs w:val="0"/>
          <w:sz w:val="21"/>
          <w:szCs w:val="21"/>
          <w:u w:val="none"/>
          <w:lang w:val="en-US"/>
        </w:rPr>
      </w:pPr>
      <w:r>
        <w:rPr>
          <w:rFonts w:hint="default"/>
          <w:b w:val="0"/>
          <w:bCs w:val="0"/>
          <w:sz w:val="21"/>
          <w:szCs w:val="21"/>
          <w:u w:val="none"/>
          <w:lang w:val="en-US"/>
        </w:rPr>
        <w:drawing>
          <wp:inline distT="0" distB="0" distL="114300" distR="114300">
            <wp:extent cx="4887595" cy="2148840"/>
            <wp:effectExtent l="0" t="0" r="8255" b="3810"/>
            <wp:docPr id="6" name="Picture 6" descr="Feature Importanc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eature Importance Plot"/>
                    <pic:cNvPicPr>
                      <a:picLocks noChangeAspect="1"/>
                    </pic:cNvPicPr>
                  </pic:nvPicPr>
                  <pic:blipFill>
                    <a:blip r:embed="rId9"/>
                    <a:stretch>
                      <a:fillRect/>
                    </a:stretch>
                  </pic:blipFill>
                  <pic:spPr>
                    <a:xfrm>
                      <a:off x="0" y="0"/>
                      <a:ext cx="4887595" cy="2148840"/>
                    </a:xfrm>
                    <a:prstGeom prst="rect">
                      <a:avLst/>
                    </a:prstGeom>
                  </pic:spPr>
                </pic:pic>
              </a:graphicData>
            </a:graphic>
          </wp:inline>
        </w:drawing>
      </w:r>
    </w:p>
    <w:p>
      <w:pPr>
        <w:numPr>
          <w:numId w:val="0"/>
        </w:numPr>
        <w:ind w:leftChars="0"/>
        <w:rPr>
          <w:rFonts w:hint="default"/>
          <w:b w:val="0"/>
          <w:bCs w:val="0"/>
          <w:sz w:val="21"/>
          <w:szCs w:val="21"/>
          <w:u w:val="none"/>
          <w:lang w:val="en-US"/>
        </w:rPr>
      </w:pPr>
    </w:p>
    <w:p>
      <w:pPr>
        <w:numPr>
          <w:numId w:val="0"/>
        </w:numPr>
        <w:ind w:leftChars="0"/>
        <w:rPr>
          <w:rFonts w:hint="default"/>
          <w:b/>
          <w:bCs/>
          <w:sz w:val="21"/>
          <w:szCs w:val="21"/>
          <w:u w:val="single"/>
          <w:lang w:val="en-US"/>
        </w:rPr>
      </w:pPr>
      <w:bookmarkStart w:id="0" w:name="_GoBack"/>
      <w:r>
        <w:rPr>
          <w:rFonts w:hint="default"/>
          <w:b/>
          <w:bCs/>
          <w:sz w:val="32"/>
          <w:szCs w:val="32"/>
          <w:u w:val="single"/>
          <w:lang w:val="en-US"/>
        </w:rPr>
        <w:t>Discussion</w:t>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New Roman Uni">
    <w:panose1 w:val="02020603050405020304"/>
    <w:charset w:val="86"/>
    <w:family w:val="auto"/>
    <w:pitch w:val="default"/>
    <w:sig w:usb0="B334AAFF" w:usb1="F9FFFFFF" w:usb2="0000003E" w:usb3="00000000" w:csb0="601F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28D01E"/>
    <w:multiLevelType w:val="singleLevel"/>
    <w:tmpl w:val="F928D0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DE297CF"/>
    <w:multiLevelType w:val="singleLevel"/>
    <w:tmpl w:val="2DE297CF"/>
    <w:lvl w:ilvl="0" w:tentative="0">
      <w:start w:val="1"/>
      <w:numFmt w:val="decimal"/>
      <w:suff w:val="space"/>
      <w:lvlText w:val="%1."/>
      <w:lvlJc w:val="left"/>
      <w:pPr>
        <w:ind w:left="200"/>
      </w:pPr>
    </w:lvl>
  </w:abstractNum>
  <w:abstractNum w:abstractNumId="2">
    <w:nsid w:val="7D6EA6C5"/>
    <w:multiLevelType w:val="singleLevel"/>
    <w:tmpl w:val="7D6EA6C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1F67D8"/>
    <w:rsid w:val="0817778D"/>
    <w:rsid w:val="0B02160F"/>
    <w:rsid w:val="184F2B6F"/>
    <w:rsid w:val="261F67D8"/>
    <w:rsid w:val="285F1E6C"/>
    <w:rsid w:val="75866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2023-05-13T00:53:00Z</dcterms:created>
  <dc:creator>hyang</dc:creator>
  <cp:lastModifiedBy>hongling yang</cp:lastModifiedBy>
  <dcterms:modified xsi:type="dcterms:W3CDTF">2023-05-13T02:59:10Z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303A81D525F147DBB0AD4BA93EE4F063</vt:lpwstr>
  </property>
</Properties>
</file>