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A4A"/>
          <w:sz w:val="40"/>
          <w:szCs w:val="40"/>
        </w:rPr>
        <w:t xml:space="preserve">Quill.AI</w:t>
      </w:r>
    </w:p>
    <w:p>
      <w:pPr>
        <w:spacing w:after="260"/>
      </w:pPr>
      <w:r>
        <w:rPr>
          <w:b/>
          <w:bCs/>
          <w:color w:val="14B8A6"/>
          <w:sz w:val="24"/>
          <w:szCs w:val="24"/>
        </w:rPr>
        <w:t xml:space="preserve">Rapport d'avancement — point d'étape pour l'encadrant</w:t>
      </w:r>
    </w:p>
    <w:p>
      <w:pPr>
        <w:spacing w:after="300"/>
      </w:pPr>
      <w:r>
        <w:rPr>
          <w:color w:val="6B7280"/>
          <w:sz w:val="19"/>
          <w:szCs w:val="19"/>
        </w:rPr>
        <w:t xml:space="preserve">17 juillet 2026  ·  Reda</w:t>
      </w:r>
    </w:p>
    <w:p>
      <w:pPr>
        <w:pStyle w:val="Heading1"/>
        <w:pBdr>
          <w:bottom w:val="single" w:color="14B8A6" w:sz="6" w:space="4"/>
        </w:pBdr>
        <w:spacing w:after="160" w:before="320"/>
      </w:pPr>
      <w:r>
        <w:rPr>
          <w:b/>
          <w:bCs/>
          <w:color w:val="1E2A4A"/>
          <w:sz w:val="26"/>
          <w:szCs w:val="26"/>
        </w:rPr>
        <w:t xml:space="preserve">1. Le problème et l'idée du produit</w:t>
      </w:r>
    </w:p>
    <w:p>
      <w:pPr>
        <w:pStyle w:val="Heading2"/>
        <w:spacing w:after="100" w:before="240"/>
      </w:pPr>
      <w:r>
        <w:rPr>
          <w:b/>
          <w:bCs/>
          <w:color w:val="1E2A4A"/>
          <w:sz w:val="22"/>
          <w:szCs w:val="22"/>
        </w:rPr>
        <w:t xml:space="preserve">1.1 Constat de départ</w:t>
      </w:r>
    </w:p>
    <w:p>
      <w:pPr>
        <w:spacing w:after="140" w:line="300"/>
      </w:pPr>
      <w:r>
        <w:rPr>
          <w:color w:val="222222"/>
          <w:sz w:val="21"/>
          <w:szCs w:val="21"/>
        </w:rPr>
        <w:t xml:space="preserve">Trois observations fondent le projet, tirées d'entretiens avec une quinzaine d'étudiants :</w:t>
      </w:r>
    </w:p>
    <w:p>
      <w:pPr>
        <w:pStyle w:val="ListParagraph"/>
        <w:numPr>
          <w:ilvl w:val="0"/>
          <w:numId w:val="2"/>
        </w:numPr>
        <w:spacing w:after="80" w:line="280"/>
      </w:pPr>
      <w:r>
        <w:rPr>
          <w:color w:val="222222"/>
          <w:sz w:val="21"/>
          <w:szCs w:val="21"/>
        </w:rPr>
        <w:t xml:space="preserve">La planification déclarative échoue. La majorité des étudiants font des listes de révision — notes du téléphone, Google Agenda, TickTick — et les abandonnent en trois jours. L'outil enregistre l'intention, puis plus rien.</w:t>
      </w:r>
    </w:p>
    <w:p>
      <w:pPr>
        <w:pStyle w:val="ListParagraph"/>
        <w:numPr>
          <w:ilvl w:val="0"/>
          <w:numId w:val="2"/>
        </w:numPr>
        <w:spacing w:after="80" w:line="280"/>
      </w:pPr>
      <w:r>
        <w:rPr>
          <w:color w:val="222222"/>
          <w:sz w:val="21"/>
          <w:szCs w:val="21"/>
        </w:rPr>
        <w:t xml:space="preserve">La concentration est le maillon faible. Un étudiant qui « travaille 4 heures » se concentre réellement 90 minutes. Aucun outil ne lui montre ce chiffre — donc il ne peut ni le voir, ni l'améliorer.</w:t>
      </w:r>
    </w:p>
    <w:p>
      <w:pPr>
        <w:pStyle w:val="ListParagraph"/>
        <w:numPr>
          <w:ilvl w:val="0"/>
          <w:numId w:val="2"/>
        </w:numPr>
        <w:spacing w:after="80" w:line="280"/>
      </w:pPr>
      <w:r>
        <w:rPr>
          <w:color w:val="222222"/>
          <w:sz w:val="21"/>
          <w:szCs w:val="21"/>
        </w:rPr>
        <w:t xml:space="preserve">Les outils sont génériques. TickTick traite « réviser l'examen de macro » exactement comme « envoyer la facture au client ». Aucune notion de semestre, de matière, de relation prof-étudiant.</w:t>
      </w:r>
    </w:p>
    <w:p>
      <w:pPr>
        <w:pStyle w:val="Heading2"/>
        <w:spacing w:after="100" w:before="240"/>
      </w:pPr>
      <w:r>
        <w:rPr>
          <w:b/>
          <w:bCs/>
          <w:color w:val="1E2A4A"/>
          <w:sz w:val="22"/>
          <w:szCs w:val="22"/>
        </w:rPr>
        <w:t xml:space="preserve">1.2 L'insight central — l'écart</w:t>
      </w:r>
    </w:p>
    <w:p>
      <w:pPr>
        <w:spacing w:after="140" w:line="300"/>
      </w:pPr>
      <w:r>
        <w:rPr>
          <w:color w:val="222222"/>
          <w:sz w:val="21"/>
          <w:szCs w:val="21"/>
        </w:rPr>
        <w:t xml:space="preserve">Entre ce que l'étudiant prévoit et ce qu'il fait, il y a un écart. Il est invisible dans tous les outils existants — et c'est pourtant la donnée la plus précieuse : elle dit si l'étudiant sous-estime ses durées, quelles tâches il fuit, à quelle heure il est réellement efficace.</w:t>
      </w:r>
    </w:p>
    <w:p>
      <w:pPr>
        <w:pBdr>
          <w:left w:val="single" w:color="14B8A6" w:sz="18" w:space="8"/>
        </w:pBdr>
        <w:spacing w:after="160" w:before="160" w:line="300"/>
        <w:ind w:left="504"/>
      </w:pPr>
      <w:r>
        <w:rPr>
          <w:i/>
          <w:iCs/>
          <w:color w:val="1E2A4A"/>
          <w:sz w:val="21"/>
          <w:szCs w:val="21"/>
        </w:rPr>
        <w:t xml:space="preserve">Les tâches = le plan · Le Pomodoro = la réalité · Mystro lit l'écart</w:t>
      </w:r>
    </w:p>
    <w:p>
      <w:pPr>
        <w:pStyle w:val="Heading1"/>
        <w:pBdr>
          <w:bottom w:val="single" w:color="14B8A6" w:sz="6" w:space="4"/>
        </w:pBdr>
        <w:spacing w:after="160" w:before="320"/>
      </w:pPr>
      <w:r>
        <w:rPr>
          <w:b/>
          <w:bCs/>
          <w:color w:val="1E2A4A"/>
          <w:sz w:val="26"/>
          <w:szCs w:val="26"/>
        </w:rPr>
        <w:t xml:space="preserve">2. Les quatre modules et leur rôle</w:t>
      </w:r>
    </w:p>
    <w:p>
      <w:pPr>
        <w:pStyle w:val="Heading2"/>
        <w:spacing w:after="100" w:before="240"/>
      </w:pPr>
      <w:r>
        <w:rPr>
          <w:b/>
          <w:bCs/>
          <w:color w:val="1E2A4A"/>
          <w:sz w:val="22"/>
          <w:szCs w:val="22"/>
        </w:rPr>
        <w:t xml:space="preserve">Tasks — le plan</w:t>
      </w:r>
    </w:p>
    <w:p>
      <w:pPr>
        <w:spacing w:after="140" w:line="300"/>
      </w:pPr>
      <w:r>
        <w:rPr>
          <w:color w:val="222222"/>
          <w:sz w:val="21"/>
          <w:szCs w:val="21"/>
        </w:rPr>
        <w:t xml:space="preserve">Obsession de friction zéro : « Read chapter 4 tomorrow » est parsé en temps réel (NLP à base de règles), l'échéance est détectée et le titre nettoyé — trois interactions pour créer une tâche. Priorités, sous-tâches, durée estimée, trois onglets (Aujourd'hui / À venir / Terminées). La durée estimée n'est pas décorative : c'est la prédiction que la réalité viendra contredire ou confirmer.</w:t>
      </w:r>
    </w:p>
    <w:p>
      <w:pPr>
        <w:pStyle w:val="Heading2"/>
        <w:spacing w:after="100" w:before="240"/>
      </w:pPr>
      <w:r>
        <w:rPr>
          <w:b/>
          <w:bCs/>
          <w:color w:val="1E2A4A"/>
          <w:sz w:val="22"/>
          <w:szCs w:val="22"/>
        </w:rPr>
        <w:t xml:space="preserve">Pomodoro — la réalité</w:t>
      </w:r>
    </w:p>
    <w:p>
      <w:pPr>
        <w:spacing w:after="140" w:line="300"/>
      </w:pPr>
      <w:r>
        <w:rPr>
          <w:color w:val="222222"/>
          <w:sz w:val="21"/>
          <w:szCs w:val="21"/>
        </w:rPr>
        <w:t xml:space="preserve">Minuteur de concentration lié aux tâches : un bouton lance, depuis une tâche, une session pré-remplie avec la durée estimée. Chaque session est journalisée (durée planifiée vs réelle, pauses, issue). C'est l'instrument de mesure du projet.</w:t>
      </w:r>
    </w:p>
    <w:p>
      <w:pPr>
        <w:pStyle w:val="Heading2"/>
        <w:spacing w:after="100" w:before="240"/>
      </w:pPr>
      <w:r>
        <w:rPr>
          <w:b/>
          <w:bCs/>
          <w:color w:val="1E2A4A"/>
          <w:sz w:val="22"/>
          <w:szCs w:val="22"/>
        </w:rPr>
        <w:t xml:space="preserve">Mystro — la lecture de l'écart</w:t>
      </w:r>
    </w:p>
    <w:p>
      <w:pPr>
        <w:spacing w:after="140" w:line="300"/>
      </w:pPr>
      <w:r>
        <w:rPr>
          <w:color w:val="222222"/>
          <w:sz w:val="21"/>
          <w:szCs w:val="21"/>
        </w:rPr>
        <w:t xml:space="preserve">L'assistant IA, identifiable par une règle de design : le teal est censé être réservé exclusivement à l'IA dans l'app. Objectif visé : croiser tasks et focus_sessions pour produire des insights (« tu estimes 30 min, tu mets 55 en moyenne », « ton taux de complétion est de 78% entre 9h et 11h »), et être calibré dès l'inscription (style d'apprentissage, capacité de concentration).</w:t>
      </w:r>
    </w:p>
    <w:p>
      <w:pPr>
        <w:pStyle w:val="Heading2"/>
        <w:spacing w:after="100" w:before="240"/>
      </w:pPr>
      <w:r>
        <w:rPr>
          <w:b/>
          <w:bCs/>
          <w:color w:val="1E2A4A"/>
          <w:sz w:val="22"/>
          <w:szCs w:val="22"/>
        </w:rPr>
        <w:t xml:space="preserve">Calendar — la vue</w:t>
      </w:r>
    </w:p>
    <w:p>
      <w:pPr>
        <w:spacing w:after="140" w:line="300"/>
      </w:pPr>
      <w:r>
        <w:rPr>
          <w:color w:val="222222"/>
          <w:sz w:val="21"/>
          <w:szCs w:val="21"/>
        </w:rPr>
        <w:t xml:space="preserve">Pas un module à part entière : une projection temporelle du plan (tâches datées) et de la réalité (sessions accomplies) sur le même axe. L'écart devient visible à l'œil.</w:t>
      </w:r>
    </w:p>
    <w:p>
      <w:pPr>
        <w:pStyle w:val="Heading1"/>
        <w:pBdr>
          <w:bottom w:val="single" w:color="14B8A6" w:sz="6" w:space="4"/>
        </w:pBdr>
        <w:spacing w:after="160" w:before="320"/>
      </w:pPr>
      <w:r>
        <w:rPr>
          <w:b/>
          <w:bCs/>
          <w:color w:val="1E2A4A"/>
          <w:sz w:val="26"/>
          <w:szCs w:val="26"/>
        </w:rPr>
        <w:t xml:space="preserve">3. Pourquoi c'est défendable</w:t>
      </w:r>
    </w:p>
    <w:p>
      <w:pPr>
        <w:pStyle w:val="Heading2"/>
        <w:spacing w:after="100" w:before="240"/>
      </w:pPr>
      <w:r>
        <w:rPr>
          <w:b/>
          <w:bCs/>
          <w:color w:val="1E2A4A"/>
          <w:sz w:val="22"/>
          <w:szCs w:val="22"/>
        </w:rPr>
        <w:t xml:space="preserve">Matrice concurrentielle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E2A4A" w:color="auto" w:val="clear"/>
            <w:tcMar>
              <w:top w:type="dxa" w:w="80"/>
              <w:left w:type="dxa" w:w="100"/>
              <w:bottom w:type="dxa" w:w="80"/>
              <w:right w:type="dxa" w:w="100"/>
            </w:tcMar>
          </w:tcPr>
          <w:p>
            <w:r>
              <w:rPr>
                <w:b/>
                <w:bCs/>
                <w:color w:val="FFFFFF"/>
                <w:sz w:val="19"/>
                <w:szCs w:val="19"/>
              </w:rPr>
              <w:t xml:space="preserve">Concurrent</w:t>
            </w:r>
          </w:p>
        </w:tc>
        <w:tc>
          <w:tcPr>
            <w:tcW w:type="dxa" w:w="3600"/>
            <w:shd w:fill="1E2A4A" w:color="auto" w:val="clear"/>
            <w:tcMar>
              <w:top w:type="dxa" w:w="80"/>
              <w:left w:type="dxa" w:w="100"/>
              <w:bottom w:type="dxa" w:w="80"/>
              <w:right w:type="dxa" w:w="100"/>
            </w:tcMar>
          </w:tcPr>
          <w:p>
            <w:r>
              <w:rPr>
                <w:b/>
                <w:bCs/>
                <w:color w:val="FFFFFF"/>
                <w:sz w:val="19"/>
                <w:szCs w:val="19"/>
              </w:rPr>
              <w:t xml:space="preserve">Force</w:t>
            </w:r>
          </w:p>
        </w:tc>
        <w:tc>
          <w:tcPr>
            <w:tcW w:type="dxa" w:w="3500"/>
            <w:shd w:fill="1E2A4A" w:color="auto" w:val="clear"/>
            <w:tcMar>
              <w:top w:type="dxa" w:w="80"/>
              <w:left w:type="dxa" w:w="100"/>
              <w:bottom w:type="dxa" w:w="80"/>
              <w:right w:type="dxa" w:w="100"/>
            </w:tcMar>
          </w:tcPr>
          <w:p>
            <w:r>
              <w:rPr>
                <w:b/>
                <w:bCs/>
                <w:color w:val="FFFFFF"/>
                <w:sz w:val="19"/>
                <w:szCs w:val="19"/>
              </w:rPr>
              <w:t xml:space="preserve">Manque</w:t>
            </w:r>
          </w:p>
        </w:tc>
      </w:tr>
      <w:tr>
        <w:tc>
          <w:tcPr>
            <w:tcW w:type="dxa" w:w="2400"/>
            <w:shd w:fill="FFFFFF" w:color="auto" w:val="clear"/>
            <w:tcMar>
              <w:top w:type="dxa" w:w="80"/>
              <w:left w:type="dxa" w:w="100"/>
              <w:bottom w:type="dxa" w:w="80"/>
              <w:right w:type="dxa" w:w="100"/>
            </w:tcMar>
          </w:tcPr>
          <w:p>
            <w:r>
              <w:rPr>
                <w:b w:val="false"/>
                <w:bCs w:val="false"/>
                <w:color w:val="222222"/>
                <w:sz w:val="19"/>
                <w:szCs w:val="19"/>
              </w:rPr>
              <w:t xml:space="preserve">TickTick</w:t>
            </w:r>
          </w:p>
        </w:tc>
        <w:tc>
          <w:tcPr>
            <w:tcW w:type="dxa" w:w="3600"/>
            <w:shd w:fill="FFFFFF" w:color="auto" w:val="clear"/>
            <w:tcMar>
              <w:top w:type="dxa" w:w="80"/>
              <w:left w:type="dxa" w:w="100"/>
              <w:bottom w:type="dxa" w:w="80"/>
              <w:right w:type="dxa" w:w="100"/>
            </w:tcMar>
          </w:tcPr>
          <w:p>
            <w:r>
              <w:rPr>
                <w:b w:val="false"/>
                <w:bCs w:val="false"/>
                <w:color w:val="222222"/>
                <w:sz w:val="19"/>
                <w:szCs w:val="19"/>
              </w:rPr>
              <w:t xml:space="preserve">Tâches + Pomodoro</w:t>
            </w:r>
          </w:p>
        </w:tc>
        <w:tc>
          <w:tcPr>
            <w:tcW w:type="dxa" w:w="3500"/>
            <w:shd w:fill="FFFFFF" w:color="auto" w:val="clear"/>
            <w:tcMar>
              <w:top w:type="dxa" w:w="80"/>
              <w:left w:type="dxa" w:w="100"/>
              <w:bottom w:type="dxa" w:w="80"/>
              <w:right w:type="dxa" w:w="100"/>
            </w:tcMar>
          </w:tcPr>
          <w:p>
            <w:r>
              <w:rPr>
                <w:b w:val="false"/>
                <w:bCs w:val="false"/>
                <w:color w:val="222222"/>
                <w:sz w:val="19"/>
                <w:szCs w:val="19"/>
              </w:rPr>
              <w:t xml:space="preserve">Jamais croisés entre eux</w:t>
            </w:r>
          </w:p>
        </w:tc>
      </w:tr>
      <w:tr>
        <w:tc>
          <w:tcPr>
            <w:tcW w:type="dxa" w:w="2400"/>
            <w:shd w:fill="F1F5F9" w:color="auto" w:val="clear"/>
            <w:tcMar>
              <w:top w:type="dxa" w:w="80"/>
              <w:left w:type="dxa" w:w="100"/>
              <w:bottom w:type="dxa" w:w="80"/>
              <w:right w:type="dxa" w:w="100"/>
            </w:tcMar>
          </w:tcPr>
          <w:p>
            <w:r>
              <w:rPr>
                <w:b w:val="false"/>
                <w:bCs w:val="false"/>
                <w:color w:val="222222"/>
                <w:sz w:val="19"/>
                <w:szCs w:val="19"/>
              </w:rPr>
              <w:t xml:space="preserve">Todoist</w:t>
            </w:r>
          </w:p>
        </w:tc>
        <w:tc>
          <w:tcPr>
            <w:tcW w:type="dxa" w:w="3600"/>
            <w:shd w:fill="F1F5F9" w:color="auto" w:val="clear"/>
            <w:tcMar>
              <w:top w:type="dxa" w:w="80"/>
              <w:left w:type="dxa" w:w="100"/>
              <w:bottom w:type="dxa" w:w="80"/>
              <w:right w:type="dxa" w:w="100"/>
            </w:tcMar>
          </w:tcPr>
          <w:p>
            <w:r>
              <w:rPr>
                <w:b w:val="false"/>
                <w:bCs w:val="false"/>
                <w:color w:val="222222"/>
                <w:sz w:val="19"/>
                <w:szCs w:val="19"/>
              </w:rPr>
              <w:t xml:space="preserve">Meilleur NLP du marché</w:t>
            </w:r>
          </w:p>
        </w:tc>
        <w:tc>
          <w:tcPr>
            <w:tcW w:type="dxa" w:w="3500"/>
            <w:shd w:fill="F1F5F9" w:color="auto" w:val="clear"/>
            <w:tcMar>
              <w:top w:type="dxa" w:w="80"/>
              <w:left w:type="dxa" w:w="100"/>
              <w:bottom w:type="dxa" w:w="80"/>
              <w:right w:type="dxa" w:w="100"/>
            </w:tcMar>
          </w:tcPr>
          <w:p>
            <w:r>
              <w:rPr>
                <w:b w:val="false"/>
                <w:bCs w:val="false"/>
                <w:color w:val="222222"/>
                <w:sz w:val="19"/>
                <w:szCs w:val="19"/>
              </w:rPr>
              <w:t xml:space="preserve">Zéro mesure d'exécution</w:t>
            </w:r>
          </w:p>
        </w:tc>
      </w:tr>
      <w:tr>
        <w:tc>
          <w:tcPr>
            <w:tcW w:type="dxa" w:w="2400"/>
            <w:shd w:fill="FFFFFF" w:color="auto" w:val="clear"/>
            <w:tcMar>
              <w:top w:type="dxa" w:w="80"/>
              <w:left w:type="dxa" w:w="100"/>
              <w:bottom w:type="dxa" w:w="80"/>
              <w:right w:type="dxa" w:w="100"/>
            </w:tcMar>
          </w:tcPr>
          <w:p>
            <w:r>
              <w:rPr>
                <w:b w:val="false"/>
                <w:bCs w:val="false"/>
                <w:color w:val="222222"/>
                <w:sz w:val="19"/>
                <w:szCs w:val="19"/>
              </w:rPr>
              <w:t xml:space="preserve">Notion</w:t>
            </w:r>
          </w:p>
        </w:tc>
        <w:tc>
          <w:tcPr>
            <w:tcW w:type="dxa" w:w="3600"/>
            <w:shd w:fill="FFFFFF" w:color="auto" w:val="clear"/>
            <w:tcMar>
              <w:top w:type="dxa" w:w="80"/>
              <w:left w:type="dxa" w:w="100"/>
              <w:bottom w:type="dxa" w:w="80"/>
              <w:right w:type="dxa" w:w="100"/>
            </w:tcMar>
          </w:tcPr>
          <w:p>
            <w:r>
              <w:rPr>
                <w:b w:val="false"/>
                <w:bCs w:val="false"/>
                <w:color w:val="222222"/>
                <w:sz w:val="19"/>
                <w:szCs w:val="19"/>
              </w:rPr>
              <w:t xml:space="preserve">Organise tout</w:t>
            </w:r>
          </w:p>
        </w:tc>
        <w:tc>
          <w:tcPr>
            <w:tcW w:type="dxa" w:w="3500"/>
            <w:shd w:fill="FFFFFF" w:color="auto" w:val="clear"/>
            <w:tcMar>
              <w:top w:type="dxa" w:w="80"/>
              <w:left w:type="dxa" w:w="100"/>
              <w:bottom w:type="dxa" w:w="80"/>
              <w:right w:type="dxa" w:w="100"/>
            </w:tcMar>
          </w:tcPr>
          <w:p>
            <w:r>
              <w:rPr>
                <w:b w:val="false"/>
                <w:bCs w:val="false"/>
                <w:color w:val="222222"/>
                <w:sz w:val="19"/>
                <w:szCs w:val="19"/>
              </w:rPr>
              <w:t xml:space="preserve">Ne mesure rien</w:t>
            </w:r>
          </w:p>
        </w:tc>
      </w:tr>
      <w:tr>
        <w:tc>
          <w:tcPr>
            <w:tcW w:type="dxa" w:w="2400"/>
            <w:shd w:fill="F1F5F9" w:color="auto" w:val="clear"/>
            <w:tcMar>
              <w:top w:type="dxa" w:w="80"/>
              <w:left w:type="dxa" w:w="100"/>
              <w:bottom w:type="dxa" w:w="80"/>
              <w:right w:type="dxa" w:w="100"/>
            </w:tcMar>
          </w:tcPr>
          <w:p>
            <w:r>
              <w:rPr>
                <w:b w:val="false"/>
                <w:bCs w:val="false"/>
                <w:color w:val="222222"/>
                <w:sz w:val="19"/>
                <w:szCs w:val="19"/>
              </w:rPr>
              <w:t xml:space="preserve">Forest</w:t>
            </w:r>
          </w:p>
        </w:tc>
        <w:tc>
          <w:tcPr>
            <w:tcW w:type="dxa" w:w="3600"/>
            <w:shd w:fill="F1F5F9" w:color="auto" w:val="clear"/>
            <w:tcMar>
              <w:top w:type="dxa" w:w="80"/>
              <w:left w:type="dxa" w:w="100"/>
              <w:bottom w:type="dxa" w:w="80"/>
              <w:right w:type="dxa" w:w="100"/>
            </w:tcMar>
          </w:tcPr>
          <w:p>
            <w:r>
              <w:rPr>
                <w:b w:val="false"/>
                <w:bCs w:val="false"/>
                <w:color w:val="222222"/>
                <w:sz w:val="19"/>
                <w:szCs w:val="19"/>
              </w:rPr>
              <w:t xml:space="preserve">Mesure le focus</w:t>
            </w:r>
          </w:p>
        </w:tc>
        <w:tc>
          <w:tcPr>
            <w:tcW w:type="dxa" w:w="3500"/>
            <w:shd w:fill="F1F5F9" w:color="auto" w:val="clear"/>
            <w:tcMar>
              <w:top w:type="dxa" w:w="80"/>
              <w:left w:type="dxa" w:w="100"/>
              <w:bottom w:type="dxa" w:w="80"/>
              <w:right w:type="dxa" w:w="100"/>
            </w:tcMar>
          </w:tcPr>
          <w:p>
            <w:r>
              <w:rPr>
                <w:b w:val="false"/>
                <w:bCs w:val="false"/>
                <w:color w:val="222222"/>
                <w:sz w:val="19"/>
                <w:szCs w:val="19"/>
              </w:rPr>
              <w:t xml:space="preserve">Sans lien avec un plan</w:t>
            </w:r>
          </w:p>
        </w:tc>
      </w:tr>
    </w:tbl>
    <w:p>
      <w:pPr>
        <w:spacing w:after="140" w:line="300"/>
      </w:pPr>
      <w:r>
        <w:rPr>
          <w:color w:val="222222"/>
          <w:sz w:val="21"/>
          <w:szCs w:val="21"/>
        </w:rPr>
        <w:t xml:space="preserve">Personne ne fait le croisement tasks × sessions. C'est l'espace vide du marché — la table focus_sessions du schéma est construite exactement pour ça.</w:t>
      </w:r>
    </w:p>
    <w:p>
      <w:pPr>
        <w:pStyle w:val="Heading2"/>
        <w:spacing w:after="100" w:before="240"/>
      </w:pPr>
      <w:r>
        <w:rPr>
          <w:b/>
          <w:bCs/>
          <w:color w:val="1E2A4A"/>
          <w:sz w:val="22"/>
          <w:szCs w:val="22"/>
        </w:rPr>
        <w:t xml:space="preserve">Deux autres différenciateurs</w:t>
      </w:r>
    </w:p>
    <w:p>
      <w:pPr>
        <w:pStyle w:val="ListParagraph"/>
        <w:numPr>
          <w:ilvl w:val="0"/>
          <w:numId w:val="2"/>
        </w:numPr>
        <w:spacing w:after="80" w:line="280"/>
      </w:pPr>
      <w:r>
        <w:rPr>
          <w:color w:val="222222"/>
          <w:sz w:val="21"/>
          <w:szCs w:val="21"/>
        </w:rPr>
        <w:t xml:space="preserve">Profil cognitif : aucun concurrent ne demande à l'utilisateur comment il apprend. Quill.AI le fait à la première ouverture (onboarding différencié étudiant/enseignant), et Mystro doit personnaliser dessus.</w:t>
      </w:r>
    </w:p>
    <w:p>
      <w:pPr>
        <w:pStyle w:val="ListParagraph"/>
        <w:numPr>
          <w:ilvl w:val="0"/>
          <w:numId w:val="2"/>
        </w:numPr>
        <w:spacing w:after="80" w:line="280"/>
      </w:pPr>
      <w:r>
        <w:rPr>
          <w:color w:val="222222"/>
          <w:sz w:val="21"/>
          <w:szCs w:val="21"/>
        </w:rPr>
        <w:t xml:space="preserve">Contexte marocain : taux d'équipement smartphone élevé, offre localisée quasi inexistante, perspective multilingue (français, arabe, darija) où le NLP à base de règles s'étend par simple ajout de motifs.</w:t>
      </w:r>
    </w:p>
    <w:p>
      <w:pPr>
        <w:pStyle w:val="Heading1"/>
        <w:pBdr>
          <w:bottom w:val="single" w:color="14B8A6" w:sz="6" w:space="4"/>
        </w:pBdr>
        <w:spacing w:after="160" w:before="320"/>
      </w:pPr>
      <w:r>
        <w:rPr>
          <w:b/>
          <w:bCs/>
          <w:color w:val="1E2A4A"/>
          <w:sz w:val="26"/>
          <w:szCs w:val="26"/>
        </w:rPr>
        <w:t xml:space="preserve">4. État d'avancement — Version 1 (module local, fonctionnel)</w:t>
      </w:r>
    </w:p>
    <w:p>
      <w:pPr>
        <w:spacing w:after="140" w:line="300"/>
      </w:pPr>
      <w:r>
        <w:rPr>
          <w:color w:val="222222"/>
          <w:sz w:val="21"/>
          <w:szCs w:val="21"/>
        </w:rPr>
        <w:t xml:space="preserve">Tous les modules ci-dessous sont opérationnels et stockent leurs données localement sur l'appareil (aucun serveur, aucun compte utilisateur réel à ce stade).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900"/>
      </w:tblGrid>
      <w:tr>
        <w:trPr>
          <w:tblHeader/>
        </w:trPr>
        <w:tc>
          <w:tcPr>
            <w:tcW w:type="dxa" w:w="2600"/>
            <w:shd w:fill="1E2A4A" w:color="auto" w:val="clear"/>
            <w:tcMar>
              <w:top w:type="dxa" w:w="80"/>
              <w:left w:type="dxa" w:w="100"/>
              <w:bottom w:type="dxa" w:w="80"/>
              <w:right w:type="dxa" w:w="100"/>
            </w:tcMar>
          </w:tcPr>
          <w:p>
            <w:r>
              <w:rPr>
                <w:b/>
                <w:bCs/>
                <w:color w:val="FFFFFF"/>
                <w:sz w:val="19"/>
                <w:szCs w:val="19"/>
              </w:rPr>
              <w:t xml:space="preserve">Module</w:t>
            </w:r>
          </w:p>
        </w:tc>
        <w:tc>
          <w:tcPr>
            <w:tcW w:type="dxa" w:w="5000"/>
            <w:shd w:fill="1E2A4A" w:color="auto" w:val="clear"/>
            <w:tcMar>
              <w:top w:type="dxa" w:w="80"/>
              <w:left w:type="dxa" w:w="100"/>
              <w:bottom w:type="dxa" w:w="80"/>
              <w:right w:type="dxa" w:w="100"/>
            </w:tcMar>
          </w:tcPr>
          <w:p>
            <w:r>
              <w:rPr>
                <w:b/>
                <w:bCs/>
                <w:color w:val="FFFFFF"/>
                <w:sz w:val="19"/>
                <w:szCs w:val="19"/>
              </w:rPr>
              <w:t xml:space="preserve">Description</w:t>
            </w:r>
          </w:p>
        </w:tc>
        <w:tc>
          <w:tcPr>
            <w:tcW w:type="dxa" w:w="1900"/>
            <w:shd w:fill="1E2A4A" w:color="auto" w:val="clear"/>
            <w:tcMar>
              <w:top w:type="dxa" w:w="80"/>
              <w:left w:type="dxa" w:w="100"/>
              <w:bottom w:type="dxa" w:w="80"/>
              <w:right w:type="dxa" w:w="100"/>
            </w:tcMar>
          </w:tcPr>
          <w:p>
            <w:r>
              <w:rPr>
                <w:b/>
                <w:bCs/>
                <w:color w:val="FFFFFF"/>
                <w:sz w:val="19"/>
                <w:szCs w:val="19"/>
              </w:rPr>
              <w:t xml:space="preserve">Statut</w:t>
            </w:r>
          </w:p>
        </w:tc>
      </w:tr>
      <w:tr>
        <w:tc>
          <w:tcPr>
            <w:tcW w:type="dxa" w:w="2600"/>
            <w:shd w:fill="FFFFFF" w:color="auto" w:val="clear"/>
            <w:tcMar>
              <w:top w:type="dxa" w:w="80"/>
              <w:left w:type="dxa" w:w="100"/>
              <w:bottom w:type="dxa" w:w="80"/>
              <w:right w:type="dxa" w:w="100"/>
            </w:tcMar>
          </w:tcPr>
          <w:p>
            <w:r>
              <w:rPr>
                <w:b w:val="false"/>
                <w:bCs w:val="false"/>
                <w:color w:val="222222"/>
                <w:sz w:val="19"/>
                <w:szCs w:val="19"/>
              </w:rPr>
              <w:t xml:space="preserve">Tasks</w:t>
            </w:r>
          </w:p>
        </w:tc>
        <w:tc>
          <w:tcPr>
            <w:tcW w:type="dxa" w:w="5000"/>
            <w:shd w:fill="FFFFFF" w:color="auto" w:val="clear"/>
            <w:tcMar>
              <w:top w:type="dxa" w:w="80"/>
              <w:left w:type="dxa" w:w="100"/>
              <w:bottom w:type="dxa" w:w="80"/>
              <w:right w:type="dxa" w:w="100"/>
            </w:tcMar>
          </w:tcPr>
          <w:p>
            <w:r>
              <w:rPr>
                <w:b w:val="false"/>
                <w:bCs w:val="false"/>
                <w:color w:val="222222"/>
                <w:sz w:val="19"/>
                <w:szCs w:val="19"/>
              </w:rPr>
              <w:t xml:space="preserve">Création, priorités, récurrence, rappels, sous-tâches, tags</w:t>
            </w:r>
          </w:p>
        </w:tc>
        <w:tc>
          <w:tcPr>
            <w:tcW w:type="dxa" w:w="1900"/>
            <w:shd w:fill="FFFFFF"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1F5F9" w:color="auto" w:val="clear"/>
            <w:tcMar>
              <w:top w:type="dxa" w:w="80"/>
              <w:left w:type="dxa" w:w="100"/>
              <w:bottom w:type="dxa" w:w="80"/>
              <w:right w:type="dxa" w:w="100"/>
            </w:tcMar>
          </w:tcPr>
          <w:p>
            <w:r>
              <w:rPr>
                <w:b w:val="false"/>
                <w:bCs w:val="false"/>
                <w:color w:val="222222"/>
                <w:sz w:val="19"/>
                <w:szCs w:val="19"/>
              </w:rPr>
              <w:t xml:space="preserve">Calendar</w:t>
            </w:r>
          </w:p>
        </w:tc>
        <w:tc>
          <w:tcPr>
            <w:tcW w:type="dxa" w:w="5000"/>
            <w:shd w:fill="F1F5F9" w:color="auto" w:val="clear"/>
            <w:tcMar>
              <w:top w:type="dxa" w:w="80"/>
              <w:left w:type="dxa" w:w="100"/>
              <w:bottom w:type="dxa" w:w="80"/>
              <w:right w:type="dxa" w:w="100"/>
            </w:tcMar>
          </w:tcPr>
          <w:p>
            <w:r>
              <w:rPr>
                <w:b w:val="false"/>
                <w:bCs w:val="false"/>
                <w:color w:val="222222"/>
                <w:sz w:val="19"/>
                <w:szCs w:val="19"/>
              </w:rPr>
              <w:t xml:space="preserve">Vue calendrier, glisser-déposer, redimensionnement, recherche</w:t>
            </w:r>
          </w:p>
        </w:tc>
        <w:tc>
          <w:tcPr>
            <w:tcW w:type="dxa" w:w="1900"/>
            <w:shd w:fill="F1F5F9"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FFFFF" w:color="auto" w:val="clear"/>
            <w:tcMar>
              <w:top w:type="dxa" w:w="80"/>
              <w:left w:type="dxa" w:w="100"/>
              <w:bottom w:type="dxa" w:w="80"/>
              <w:right w:type="dxa" w:w="100"/>
            </w:tcMar>
          </w:tcPr>
          <w:p>
            <w:r>
              <w:rPr>
                <w:b w:val="false"/>
                <w:bCs w:val="false"/>
                <w:color w:val="222222"/>
                <w:sz w:val="19"/>
                <w:szCs w:val="19"/>
              </w:rPr>
              <w:t xml:space="preserve">Pomodoro</w:t>
            </w:r>
          </w:p>
        </w:tc>
        <w:tc>
          <w:tcPr>
            <w:tcW w:type="dxa" w:w="5000"/>
            <w:shd w:fill="FFFFFF" w:color="auto" w:val="clear"/>
            <w:tcMar>
              <w:top w:type="dxa" w:w="80"/>
              <w:left w:type="dxa" w:w="100"/>
              <w:bottom w:type="dxa" w:w="80"/>
              <w:right w:type="dxa" w:w="100"/>
            </w:tcMar>
          </w:tcPr>
          <w:p>
            <w:r>
              <w:rPr>
                <w:b w:val="false"/>
                <w:bCs w:val="false"/>
                <w:color w:val="222222"/>
                <w:sz w:val="19"/>
                <w:szCs w:val="19"/>
              </w:rPr>
              <w:t xml:space="preserve">Sessions chronométrées, durée et nombre de sessions personnalisables</w:t>
            </w:r>
          </w:p>
        </w:tc>
        <w:tc>
          <w:tcPr>
            <w:tcW w:type="dxa" w:w="1900"/>
            <w:shd w:fill="FFFFFF"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1F5F9" w:color="auto" w:val="clear"/>
            <w:tcMar>
              <w:top w:type="dxa" w:w="80"/>
              <w:left w:type="dxa" w:w="100"/>
              <w:bottom w:type="dxa" w:w="80"/>
              <w:right w:type="dxa" w:w="100"/>
            </w:tcMar>
          </w:tcPr>
          <w:p>
            <w:r>
              <w:rPr>
                <w:b w:val="false"/>
                <w:bCs w:val="false"/>
                <w:color w:val="222222"/>
                <w:sz w:val="19"/>
                <w:szCs w:val="19"/>
              </w:rPr>
              <w:t xml:space="preserve">Habits</w:t>
            </w:r>
          </w:p>
        </w:tc>
        <w:tc>
          <w:tcPr>
            <w:tcW w:type="dxa" w:w="5000"/>
            <w:shd w:fill="F1F5F9" w:color="auto" w:val="clear"/>
            <w:tcMar>
              <w:top w:type="dxa" w:w="80"/>
              <w:left w:type="dxa" w:w="100"/>
              <w:bottom w:type="dxa" w:w="80"/>
              <w:right w:type="dxa" w:w="100"/>
            </w:tcMar>
          </w:tcPr>
          <w:p>
            <w:r>
              <w:rPr>
                <w:b w:val="false"/>
                <w:bCs w:val="false"/>
                <w:color w:val="222222"/>
                <w:sz w:val="19"/>
                <w:szCs w:val="19"/>
              </w:rPr>
              <w:t xml:space="preserve">Suivi d'habitudes, séries (streaks), heatmap mensuelle, rappels</w:t>
            </w:r>
          </w:p>
        </w:tc>
        <w:tc>
          <w:tcPr>
            <w:tcW w:type="dxa" w:w="1900"/>
            <w:shd w:fill="F1F5F9"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FFFFF" w:color="auto" w:val="clear"/>
            <w:tcMar>
              <w:top w:type="dxa" w:w="80"/>
              <w:left w:type="dxa" w:w="100"/>
              <w:bottom w:type="dxa" w:w="80"/>
              <w:right w:type="dxa" w:w="100"/>
            </w:tcMar>
          </w:tcPr>
          <w:p>
            <w:r>
              <w:rPr>
                <w:b w:val="false"/>
                <w:bCs w:val="false"/>
                <w:color w:val="222222"/>
                <w:sz w:val="19"/>
                <w:szCs w:val="19"/>
              </w:rPr>
              <w:t xml:space="preserve">Notebook</w:t>
            </w:r>
          </w:p>
        </w:tc>
        <w:tc>
          <w:tcPr>
            <w:tcW w:type="dxa" w:w="5000"/>
            <w:shd w:fill="FFFFFF" w:color="auto" w:val="clear"/>
            <w:tcMar>
              <w:top w:type="dxa" w:w="80"/>
              <w:left w:type="dxa" w:w="100"/>
              <w:bottom w:type="dxa" w:w="80"/>
              <w:right w:type="dxa" w:w="100"/>
            </w:tcMar>
          </w:tcPr>
          <w:p>
            <w:r>
              <w:rPr>
                <w:b w:val="false"/>
                <w:bCs w:val="false"/>
                <w:color w:val="222222"/>
                <w:sz w:val="19"/>
                <w:szCs w:val="19"/>
              </w:rPr>
              <w:t xml:space="preserve">Éditeur par blocs (titres, texte, listes, cases à cocher, photos)</w:t>
            </w:r>
          </w:p>
        </w:tc>
        <w:tc>
          <w:tcPr>
            <w:tcW w:type="dxa" w:w="1900"/>
            <w:shd w:fill="FFFFFF"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1F5F9" w:color="auto" w:val="clear"/>
            <w:tcMar>
              <w:top w:type="dxa" w:w="80"/>
              <w:left w:type="dxa" w:w="100"/>
              <w:bottom w:type="dxa" w:w="80"/>
              <w:right w:type="dxa" w:w="100"/>
            </w:tcMar>
          </w:tcPr>
          <w:p>
            <w:r>
              <w:rPr>
                <w:b w:val="false"/>
                <w:bCs w:val="false"/>
                <w:color w:val="222222"/>
                <w:sz w:val="19"/>
                <w:szCs w:val="19"/>
              </w:rPr>
              <w:t xml:space="preserve">Flashcards</w:t>
            </w:r>
          </w:p>
        </w:tc>
        <w:tc>
          <w:tcPr>
            <w:tcW w:type="dxa" w:w="5000"/>
            <w:shd w:fill="F1F5F9" w:color="auto" w:val="clear"/>
            <w:tcMar>
              <w:top w:type="dxa" w:w="80"/>
              <w:left w:type="dxa" w:w="100"/>
              <w:bottom w:type="dxa" w:w="80"/>
              <w:right w:type="dxa" w:w="100"/>
            </w:tcMar>
          </w:tcPr>
          <w:p>
            <w:r>
              <w:rPr>
                <w:b w:val="false"/>
                <w:bCs w:val="false"/>
                <w:color w:val="222222"/>
                <w:sz w:val="19"/>
                <w:szCs w:val="19"/>
              </w:rPr>
              <w:t xml:space="preserve">Répétition espacée, méthode Leitner (5 boîtes)</w:t>
            </w:r>
          </w:p>
        </w:tc>
        <w:tc>
          <w:tcPr>
            <w:tcW w:type="dxa" w:w="1900"/>
            <w:shd w:fill="F1F5F9" w:color="auto" w:val="clear"/>
            <w:tcMar>
              <w:top w:type="dxa" w:w="80"/>
              <w:left w:type="dxa" w:w="100"/>
              <w:bottom w:type="dxa" w:w="80"/>
              <w:right w:type="dxa" w:w="100"/>
            </w:tcMar>
          </w:tcPr>
          <w:p>
            <w:r>
              <w:rPr>
                <w:b w:val="false"/>
                <w:bCs w:val="false"/>
                <w:color w:val="222222"/>
                <w:sz w:val="19"/>
                <w:szCs w:val="19"/>
              </w:rPr>
              <w:t xml:space="preserve">Fonctionnel</w:t>
            </w:r>
          </w:p>
        </w:tc>
      </w:tr>
      <w:tr>
        <w:tc>
          <w:tcPr>
            <w:tcW w:type="dxa" w:w="2600"/>
            <w:shd w:fill="FFFFFF" w:color="auto" w:val="clear"/>
            <w:tcMar>
              <w:top w:type="dxa" w:w="80"/>
              <w:left w:type="dxa" w:w="100"/>
              <w:bottom w:type="dxa" w:w="80"/>
              <w:right w:type="dxa" w:w="100"/>
            </w:tcMar>
          </w:tcPr>
          <w:p>
            <w:r>
              <w:rPr>
                <w:b w:val="false"/>
                <w:bCs w:val="false"/>
                <w:color w:val="222222"/>
                <w:sz w:val="19"/>
                <w:szCs w:val="19"/>
              </w:rPr>
              <w:t xml:space="preserve">Mystro</w:t>
            </w:r>
          </w:p>
        </w:tc>
        <w:tc>
          <w:tcPr>
            <w:tcW w:type="dxa" w:w="5000"/>
            <w:shd w:fill="FFFFFF" w:color="auto" w:val="clear"/>
            <w:tcMar>
              <w:top w:type="dxa" w:w="80"/>
              <w:left w:type="dxa" w:w="100"/>
              <w:bottom w:type="dxa" w:w="80"/>
              <w:right w:type="dxa" w:w="100"/>
            </w:tcMar>
          </w:tcPr>
          <w:p>
            <w:r>
              <w:rPr>
                <w:b w:val="false"/>
                <w:bCs w:val="false"/>
                <w:color w:val="222222"/>
                <w:sz w:val="19"/>
                <w:szCs w:val="19"/>
              </w:rPr>
              <w:t xml:space="preserve">Chat + génération de cartes depuis une note</w:t>
            </w:r>
          </w:p>
        </w:tc>
        <w:tc>
          <w:tcPr>
            <w:tcW w:type="dxa" w:w="1900"/>
            <w:shd w:fill="FFFFFF" w:color="auto" w:val="clear"/>
            <w:tcMar>
              <w:top w:type="dxa" w:w="80"/>
              <w:left w:type="dxa" w:w="100"/>
              <w:bottom w:type="dxa" w:w="80"/>
              <w:right w:type="dxa" w:w="100"/>
            </w:tcMar>
          </w:tcPr>
          <w:p>
            <w:r>
              <w:rPr>
                <w:b w:val="false"/>
                <w:bCs w:val="false"/>
                <w:color w:val="222222"/>
                <w:sz w:val="19"/>
                <w:szCs w:val="19"/>
              </w:rPr>
              <w:t xml:space="preserve">Fonctionnel (API Gemini)</w:t>
            </w:r>
          </w:p>
        </w:tc>
      </w:tr>
      <w:tr>
        <w:tc>
          <w:tcPr>
            <w:tcW w:type="dxa" w:w="2600"/>
            <w:shd w:fill="F1F5F9" w:color="auto" w:val="clear"/>
            <w:tcMar>
              <w:top w:type="dxa" w:w="80"/>
              <w:left w:type="dxa" w:w="100"/>
              <w:bottom w:type="dxa" w:w="80"/>
              <w:right w:type="dxa" w:w="100"/>
            </w:tcMar>
          </w:tcPr>
          <w:p>
            <w:r>
              <w:rPr>
                <w:b w:val="false"/>
                <w:bCs w:val="false"/>
                <w:color w:val="222222"/>
                <w:sz w:val="19"/>
                <w:szCs w:val="19"/>
              </w:rPr>
              <w:t xml:space="preserve">Classroom (v1)</w:t>
            </w:r>
          </w:p>
        </w:tc>
        <w:tc>
          <w:tcPr>
            <w:tcW w:type="dxa" w:w="5000"/>
            <w:shd w:fill="F1F5F9" w:color="auto" w:val="clear"/>
            <w:tcMar>
              <w:top w:type="dxa" w:w="80"/>
              <w:left w:type="dxa" w:w="100"/>
              <w:bottom w:type="dxa" w:w="80"/>
              <w:right w:type="dxa" w:w="100"/>
            </w:tcMar>
          </w:tcPr>
          <w:p>
            <w:r>
              <w:rPr>
                <w:b w:val="false"/>
                <w:bCs w:val="false"/>
                <w:color w:val="222222"/>
                <w:sz w:val="19"/>
                <w:szCs w:val="19"/>
              </w:rPr>
              <w:t xml:space="preserve">Groupes créés/rejoints — limité à un seul appareil</w:t>
            </w:r>
          </w:p>
        </w:tc>
        <w:tc>
          <w:tcPr>
            <w:tcW w:type="dxa" w:w="1900"/>
            <w:shd w:fill="F1F5F9" w:color="auto" w:val="clear"/>
            <w:tcMar>
              <w:top w:type="dxa" w:w="80"/>
              <w:left w:type="dxa" w:w="100"/>
              <w:bottom w:type="dxa" w:w="80"/>
              <w:right w:type="dxa" w:w="100"/>
            </w:tcMar>
          </w:tcPr>
          <w:p>
            <w:r>
              <w:rPr>
                <w:b w:val="false"/>
                <w:bCs w:val="false"/>
                <w:color w:val="222222"/>
                <w:sz w:val="19"/>
                <w:szCs w:val="19"/>
              </w:rPr>
              <w:t xml:space="preserve">Fonctionnel mais limité</w:t>
            </w:r>
          </w:p>
        </w:tc>
      </w:tr>
    </w:tbl>
    <w:p>
      <w:pPr>
        <w:pStyle w:val="Heading1"/>
        <w:pBdr>
          <w:bottom w:val="single" w:color="14B8A6" w:sz="6" w:space="4"/>
        </w:pBdr>
        <w:spacing w:after="160" w:before="320"/>
      </w:pPr>
      <w:r>
        <w:rPr>
          <w:b/>
          <w:bCs/>
          <w:color w:val="1E2A4A"/>
          <w:sz w:val="26"/>
          <w:szCs w:val="26"/>
        </w:rPr>
        <w:t xml:space="preserve">5. Chantier en cours — Version 2 : groupes réels (multi-appareils)</w:t>
      </w:r>
    </w:p>
    <w:p>
      <w:pPr>
        <w:spacing w:after="140" w:line="300"/>
      </w:pPr>
      <w:r>
        <w:rPr>
          <w:color w:val="222222"/>
          <w:sz w:val="21"/>
          <w:szCs w:val="21"/>
        </w:rPr>
        <w:t xml:space="preserve">Objectif : permettre à un code d'invitation ou un lien de groupe créé sur un téléphone d'être utilisable depuis un autre appareil. Cela nécessite un vrai backend, ce que l'application n'a pas aujourd'hui.</w:t>
      </w:r>
    </w:p>
    <w:p>
      <w:pPr>
        <w:pStyle w:val="Heading2"/>
        <w:spacing w:after="100" w:before="240"/>
      </w:pPr>
      <w:r>
        <w:rPr>
          <w:b/>
          <w:bCs/>
          <w:color w:val="1E2A4A"/>
          <w:sz w:val="22"/>
          <w:szCs w:val="22"/>
        </w:rPr>
        <w:t xml:space="preserve">Spécification validée (3 écrans)</w:t>
      </w:r>
    </w:p>
    <w:p>
      <w:pPr>
        <w:pStyle w:val="ListParagraph"/>
        <w:numPr>
          <w:ilvl w:val="0"/>
          <w:numId w:val="2"/>
        </w:numPr>
        <w:spacing w:after="80" w:line="280"/>
      </w:pPr>
      <w:r>
        <w:rPr>
          <w:color w:val="222222"/>
          <w:sz w:val="21"/>
          <w:szCs w:val="21"/>
        </w:rPr>
        <w:t xml:space="preserve">Écran « Mes groupes » : liste des groupes créés/rejoints, création, rejoindre par code.</w:t>
      </w:r>
    </w:p>
    <w:p>
      <w:pPr>
        <w:pStyle w:val="ListParagraph"/>
        <w:numPr>
          <w:ilvl w:val="0"/>
          <w:numId w:val="2"/>
        </w:numPr>
        <w:spacing w:after="80" w:line="280"/>
      </w:pPr>
      <w:r>
        <w:rPr>
          <w:color w:val="222222"/>
          <w:sz w:val="21"/>
          <w:szCs w:val="21"/>
        </w:rPr>
        <w:t xml:space="preserve">Écran de création : nom + matière, type déterminé automatiquement (élève / prof), génération d'un code et d'un lien de partage.</w:t>
      </w:r>
    </w:p>
    <w:p>
      <w:pPr>
        <w:pStyle w:val="ListParagraph"/>
        <w:numPr>
          <w:ilvl w:val="0"/>
          <w:numId w:val="2"/>
        </w:numPr>
        <w:spacing w:after="80" w:line="280"/>
      </w:pPr>
      <w:r>
        <w:rPr>
          <w:color w:val="222222"/>
          <w:sz w:val="21"/>
          <w:szCs w:val="21"/>
        </w:rPr>
        <w:t xml:space="preserve">Écran détail à 3 onglets : Tâches (diffusion + copie vers le plan de l'étudiant), Membres (avatar, streak, sessions de la semaine), Progression (prof uniquement).</w:t>
      </w:r>
    </w:p>
    <w:p>
      <w:pPr>
        <w:pStyle w:val="Heading2"/>
        <w:spacing w:after="100" w:before="240"/>
      </w:pPr>
      <w:r>
        <w:rPr>
          <w:b/>
          <w:bCs/>
          <w:color w:val="1E2A4A"/>
          <w:sz w:val="22"/>
          <w:szCs w:val="22"/>
        </w:rPr>
        <w:t xml:space="preserve">Règle de conception retenue</w:t>
      </w:r>
    </w:p>
    <w:p>
      <w:pPr>
        <w:pBdr>
          <w:left w:val="single" w:color="14B8A6" w:sz="18" w:space="8"/>
        </w:pBdr>
        <w:spacing w:after="160" w:before="160" w:line="300"/>
        <w:ind w:left="504"/>
      </w:pPr>
      <w:r>
        <w:rPr>
          <w:i/>
          <w:iCs/>
          <w:color w:val="1E2A4A"/>
          <w:sz w:val="21"/>
          <w:szCs w:val="21"/>
        </w:rPr>
        <w:t xml:space="preserve">Les groupes servent à diffuser des tâches et voir l'effort, point. Zéro messagerie — dès qu'on ajoute un chat, on reconstruit WhatsApp (modération, spam, signalements).</w:t>
      </w:r>
    </w:p>
    <w:p>
      <w:pPr>
        <w:pStyle w:val="Heading2"/>
        <w:spacing w:after="100" w:before="240"/>
      </w:pPr>
      <w:r>
        <w:rPr>
          <w:b/>
          <w:bCs/>
          <w:color w:val="1E2A4A"/>
          <w:sz w:val="22"/>
          <w:szCs w:val="22"/>
        </w:rPr>
        <w:t xml:space="preserve">Statut réel</w:t>
      </w:r>
    </w:p>
    <w:p>
      <w:pPr>
        <w:spacing w:after="140" w:line="300"/>
      </w:pPr>
      <w:r>
        <w:rPr>
          <w:color w:val="222222"/>
          <w:sz w:val="21"/>
          <w:szCs w:val="21"/>
        </w:rPr>
        <w:t xml:space="preserve">La conception est terminée ; le développement n'a pas commencé. Le blocage n'est pas la complexité des écrans mais l'architecture sous-jacente : passer d'une application 100% locale à une application connectée à un vrai backend (Supabase), avec de vrais comptes utilisateurs et une synchronisation des tâches et sessions de focus (nécessaire pour les streaks et la progression).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4B8A6" w:color="auto" w:val="clear"/>
            <w:tcMar>
              <w:top w:type="dxa" w:w="80"/>
              <w:left w:type="dxa" w:w="100"/>
              <w:bottom w:type="dxa" w:w="80"/>
              <w:right w:type="dxa" w:w="100"/>
            </w:tcMar>
          </w:tcPr>
          <w:p>
            <w:r>
              <w:rPr>
                <w:b/>
                <w:bCs/>
                <w:color w:val="FFFFFF"/>
                <w:sz w:val="19"/>
                <w:szCs w:val="19"/>
              </w:rPr>
              <w:t xml:space="preserve">Indispensable — v2</w:t>
            </w:r>
          </w:p>
        </w:tc>
        <w:tc>
          <w:tcPr>
            <w:tcW w:type="dxa" w:w="4750"/>
            <w:shd w:fill="6B7280" w:color="auto" w:val="clear"/>
            <w:tcMar>
              <w:top w:type="dxa" w:w="80"/>
              <w:left w:type="dxa" w:w="100"/>
              <w:bottom w:type="dxa" w:w="80"/>
              <w:right w:type="dxa" w:w="100"/>
            </w:tcMar>
          </w:tcPr>
          <w:p>
            <w:r>
              <w:rPr>
                <w:b/>
                <w:bCs/>
                <w:color w:val="FFFFFF"/>
                <w:sz w:val="19"/>
                <w:szCs w:val="19"/>
              </w:rPr>
              <w:t xml:space="preserve">Reportable — v3</w:t>
            </w:r>
          </w:p>
        </w:tc>
      </w:tr>
      <w:tr>
        <w:tc>
          <w:tcPr>
            <w:tcW w:type="dxa" w:w="4750"/>
            <w:tcMar>
              <w:top w:type="dxa" w:w="100"/>
              <w:left w:type="dxa" w:w="120"/>
              <w:bottom w:type="dxa" w:w="100"/>
              <w:right w:type="dxa" w:w="120"/>
            </w:tcMar>
          </w:tcPr>
          <w:p>
            <w:pPr>
              <w:pStyle w:val="ListParagraph"/>
              <w:numPr>
                <w:ilvl w:val="0"/>
                <w:numId w:val="2"/>
              </w:numPr>
              <w:spacing w:after="80"/>
            </w:pPr>
            <w:r>
              <w:rPr>
                <w:color w:val="222222"/>
                <w:sz w:val="19"/>
                <w:szCs w:val="19"/>
              </w:rPr>
              <w:t xml:space="preserve">Créer / rejoindre un groupe par code, liste</w:t>
            </w:r>
          </w:p>
          <w:p>
            <w:pPr>
              <w:pStyle w:val="ListParagraph"/>
              <w:numPr>
                <w:ilvl w:val="0"/>
                <w:numId w:val="2"/>
              </w:numPr>
              <w:spacing w:after="80"/>
            </w:pPr>
            <w:r>
              <w:rPr>
                <w:color w:val="222222"/>
                <w:sz w:val="19"/>
                <w:szCs w:val="19"/>
              </w:rPr>
              <w:t xml:space="preserve">Diffusion de tâche + copie vers le plan (fan-out)</w:t>
            </w:r>
          </w:p>
          <w:p>
            <w:pPr>
              <w:pStyle w:val="ListParagraph"/>
              <w:numPr>
                <w:ilvl w:val="0"/>
                <w:numId w:val="2"/>
              </w:numPr>
              <w:spacing w:after="80"/>
            </w:pPr>
            <w:r>
              <w:rPr>
                <w:color w:val="222222"/>
                <w:sz w:val="19"/>
                <w:szCs w:val="19"/>
              </w:rPr>
              <w:t xml:space="preserve">Onglet Membres avec streaks</w:t>
            </w:r>
          </w:p>
          <w:p>
            <w:pPr>
              <w:pStyle w:val="ListParagraph"/>
              <w:numPr>
                <w:ilvl w:val="0"/>
                <w:numId w:val="2"/>
              </w:numPr>
              <w:spacing w:after="80"/>
            </w:pPr>
            <w:r>
              <w:rPr>
                <w:color w:val="222222"/>
                <w:sz w:val="19"/>
                <w:szCs w:val="19"/>
              </w:rPr>
              <w:t xml:space="preserve">Quitter le groupe / retirer un membre</w:t>
            </w:r>
          </w:p>
        </w:tc>
        <w:tc>
          <w:tcPr>
            <w:tcW w:type="dxa" w:w="4750"/>
            <w:tcMar>
              <w:top w:type="dxa" w:w="100"/>
              <w:left w:type="dxa" w:w="120"/>
              <w:bottom w:type="dxa" w:w="100"/>
              <w:right w:type="dxa" w:w="120"/>
            </w:tcMar>
          </w:tcPr>
          <w:p>
            <w:pPr>
              <w:pStyle w:val="ListParagraph"/>
              <w:numPr>
                <w:ilvl w:val="0"/>
                <w:numId w:val="2"/>
              </w:numPr>
              <w:spacing w:after="80"/>
            </w:pPr>
            <w:r>
              <w:rPr>
                <w:color w:val="222222"/>
                <w:sz w:val="19"/>
                <w:szCs w:val="19"/>
              </w:rPr>
              <w:t xml:space="preserve">Lien URL, partage WhatsApp</w:t>
            </w:r>
          </w:p>
          <w:p>
            <w:pPr>
              <w:pStyle w:val="ListParagraph"/>
              <w:numPr>
                <w:ilvl w:val="0"/>
                <w:numId w:val="2"/>
              </w:numPr>
              <w:spacing w:after="80"/>
            </w:pPr>
            <w:r>
              <w:rPr>
                <w:color w:val="222222"/>
                <w:sz w:val="19"/>
                <w:szCs w:val="19"/>
              </w:rPr>
              <w:t xml:space="preserve">Notifications push</w:t>
            </w:r>
          </w:p>
          <w:p>
            <w:pPr>
              <w:pStyle w:val="ListParagraph"/>
              <w:numPr>
                <w:ilvl w:val="0"/>
                <w:numId w:val="2"/>
              </w:numPr>
              <w:spacing w:after="80"/>
            </w:pPr>
            <w:r>
              <w:rPr>
                <w:color w:val="222222"/>
                <w:sz w:val="19"/>
                <w:szCs w:val="19"/>
              </w:rPr>
              <w:t xml:space="preserve">Progression détaillée par étudiant</w:t>
            </w:r>
          </w:p>
          <w:p>
            <w:pPr>
              <w:pStyle w:val="ListParagraph"/>
              <w:numPr>
                <w:ilvl w:val="0"/>
                <w:numId w:val="2"/>
              </w:numPr>
              <w:spacing w:after="80"/>
            </w:pPr>
            <w:r>
              <w:rPr>
                <w:color w:val="222222"/>
                <w:sz w:val="19"/>
                <w:szCs w:val="19"/>
              </w:rPr>
              <w:t xml:space="preserve">Insight Mystro côté prof</w:t>
            </w:r>
          </w:p>
        </w:tc>
      </w:tr>
    </w:tbl>
    <w:p>
      <w:pPr>
        <w:pStyle w:val="Heading1"/>
        <w:pBdr>
          <w:bottom w:val="single" w:color="14B8A6" w:sz="6" w:space="4"/>
        </w:pBdr>
        <w:spacing w:after="160" w:before="320"/>
      </w:pPr>
      <w:r>
        <w:rPr>
          <w:b/>
          <w:bCs/>
          <w:color w:val="1E2A4A"/>
          <w:sz w:val="26"/>
          <w:szCs w:val="26"/>
        </w:rPr>
        <w:t xml:space="preserve">6. Extension déjà réalisée en avance — Notebook + Flashcards</w:t>
      </w:r>
    </w:p>
    <w:p>
      <w:pPr>
        <w:spacing w:after="140" w:line="300"/>
      </w:pPr>
      <w:r>
        <w:rPr>
          <w:color w:val="222222"/>
          <w:sz w:val="21"/>
          <w:szCs w:val="21"/>
        </w:rPr>
        <w:t xml:space="preserve">L'idée initiale plaçait Notebook (prise de notes) et Flashcards (répétition espacée, cartes générées par Mystro depuis une note) comme perspective v3, après Classroom. Dans les faits, ces deux modules sont déjà construits et fonctionnels (voir tableau section 4) — la génération de cartes par IA fonctionne réellement, avec validation humaine avant tout ajout au paquet. C'est en avance sur la feuille de route initiale, pas en retard.</w:t>
      </w:r>
    </w:p>
    <w:p>
      <w:pPr>
        <w:pStyle w:val="Heading1"/>
        <w:pBdr>
          <w:bottom w:val="single" w:color="14B8A6" w:sz="6" w:space="4"/>
        </w:pBdr>
        <w:spacing w:after="160" w:before="320"/>
      </w:pPr>
      <w:r>
        <w:rPr>
          <w:b/>
          <w:bCs/>
          <w:color w:val="1E2A4A"/>
          <w:sz w:val="26"/>
          <w:szCs w:val="26"/>
        </w:rPr>
        <w:t xml:space="preserve">7. Le pipeline Mystro × Notebook × Flashcards</w:t>
      </w:r>
    </w:p>
    <w:p>
      <w:pPr>
        <w:pStyle w:val="Heading2"/>
        <w:spacing w:after="100" w:before="240"/>
      </w:pPr>
      <w:r>
        <w:rPr>
          <w:b/>
          <w:bCs/>
          <w:color w:val="1E2A4A"/>
          <w:sz w:val="22"/>
          <w:szCs w:val="22"/>
        </w:rPr>
        <w:t xml:space="preserve">Le pipeline en une ligne</w:t>
      </w:r>
    </w:p>
    <w:p>
      <w:pPr>
        <w:pBdr>
          <w:left w:val="single" w:color="14B8A6" w:sz="18" w:space="8"/>
        </w:pBdr>
        <w:spacing w:after="160" w:before="160" w:line="300"/>
        <w:ind w:left="504"/>
      </w:pPr>
      <w:r>
        <w:rPr>
          <w:i/>
          <w:iCs/>
          <w:color w:val="1E2A4A"/>
          <w:sz w:val="21"/>
          <w:szCs w:val="21"/>
        </w:rPr>
        <w:t xml:space="preserve">Note (dans un Notebook) → Mystro génère des cartes → Flashcard → révision espacée (Leitner) → résultats (card_reviews) → retour à Mystro.</w:t>
      </w:r>
    </w:p>
    <w:p>
      <w:pPr>
        <w:pStyle w:val="Heading2"/>
        <w:spacing w:after="100" w:before="240"/>
      </w:pPr>
      <w:r>
        <w:rPr>
          <w:b/>
          <w:bCs/>
          <w:color w:val="1E2A4A"/>
          <w:sz w:val="22"/>
          <w:szCs w:val="22"/>
        </w:rPr>
        <w:t xml:space="preserve">Les trois rôles de Mystro dans ce système</w:t>
      </w:r>
    </w:p>
    <w:p>
      <w:pPr>
        <w:pStyle w:val="ListParagraph"/>
        <w:numPr>
          <w:ilvl w:val="0"/>
          <w:numId w:val="2"/>
        </w:numPr>
        <w:spacing w:after="100" w:line="280"/>
      </w:pPr>
      <w:r>
        <w:rPr>
          <w:b/>
          <w:bCs/>
          <w:color w:val="1E2A4A"/>
          <w:sz w:val="21"/>
          <w:szCs w:val="21"/>
        </w:rPr>
        <w:t xml:space="preserve">1. Usine à cartes (fonctionnel) — </w:t>
      </w:r>
      <w:r>
        <w:rPr>
          <w:color w:val="222222"/>
          <w:sz w:val="21"/>
          <w:szCs w:val="21"/>
        </w:rPr>
        <w:t xml:space="preserve">Depuis une note ouverte, l'utilisateur demande « Génère mes cartes » ; Mystro produit des paires question/réponse, l'utilisateur valide avant tout ajout au paquet. C'est le seul des trois rôles déjà construit dans le code.</w:t>
      </w:r>
    </w:p>
    <w:p>
      <w:pPr>
        <w:pStyle w:val="ListParagraph"/>
        <w:numPr>
          <w:ilvl w:val="0"/>
          <w:numId w:val="2"/>
        </w:numPr>
        <w:spacing w:after="100" w:line="280"/>
      </w:pPr>
      <w:r>
        <w:rPr>
          <w:b/>
          <w:bCs/>
          <w:color w:val="1E2A4A"/>
          <w:sz w:val="21"/>
          <w:szCs w:val="21"/>
        </w:rPr>
        <w:t xml:space="preserve">2. Correcteur de trajectoire (partiellement fonctionnel) — </w:t>
      </w:r>
      <w:r>
        <w:rPr>
          <w:color w:val="222222"/>
          <w:sz w:val="21"/>
          <w:szCs w:val="21"/>
        </w:rPr>
        <w:t xml:space="preserve">Chaque révision alimente card_reviews et fait avancer ou reculer la carte dans les boîtes de Leitner (1→3→7→21 jours, boîte 5 = maîtrisée) ; une carte ratée propose un lien direct vers la note d'origine (« remonter à la source »). Ce mécanisme est réel et fonctionne. Ce qui ne l'est pas : Mystro lui-même ne lit pas card_reviews — il ne peut pas dire « tu rates 60% des cartes du chapitre 4 », c'est à l'utilisateur de le remarquer seul.</w:t>
      </w:r>
    </w:p>
    <w:p>
      <w:pPr>
        <w:pStyle w:val="ListParagraph"/>
        <w:numPr>
          <w:ilvl w:val="0"/>
          <w:numId w:val="2"/>
        </w:numPr>
        <w:spacing w:after="100" w:line="280"/>
      </w:pPr>
      <w:r>
        <w:rPr>
          <w:b/>
          <w:bCs/>
          <w:color w:val="1E2A4A"/>
          <w:sz w:val="21"/>
          <w:szCs w:val="21"/>
        </w:rPr>
        <w:t xml:space="preserve">3. Point de jonction des deux boucles (vision, non codé) — </w:t>
      </w:r>
      <w:r>
        <w:rPr>
          <w:color w:val="222222"/>
          <w:sz w:val="21"/>
          <w:szCs w:val="21"/>
        </w:rPr>
        <w:t xml:space="preserve">La boucle d'exécution (tâche → Pomodoro → écart planifié/réel) et la boucle du savoir (note → carte → card_reviews) existent séparément. L'idée est que Mystro les croise : « tu bloques sur le chapitre 4 en flashcards et tu annules systématiquement la tâche de révision associée — ce chapitre demande peut-être une autre méthode ». Aujourd'hui, aucune des deux boucles n'est connectée à l'autre dans le code — Mystro ne consulte ni les tâches, ni les sessions, ni les révisions de cartes. C'est le même écart que celui déjà signalé plus bas pour les insights croisés Tasks × Pomodoro.</w:t>
      </w:r>
    </w:p>
    <w:p>
      <w:pPr>
        <w:pStyle w:val="Heading1"/>
        <w:pBdr>
          <w:bottom w:val="single" w:color="14B8A6" w:sz="6" w:space="4"/>
        </w:pBdr>
        <w:spacing w:after="160" w:before="320"/>
      </w:pPr>
      <w:r>
        <w:rPr>
          <w:b/>
          <w:bCs/>
          <w:color w:val="1E2A4A"/>
          <w:sz w:val="26"/>
          <w:szCs w:val="26"/>
        </w:rPr>
        <w:t xml:space="preserve">8. Points de vigilance — écarts entre le pitch et le code actuel</w:t>
      </w:r>
    </w:p>
    <w:p>
      <w:pPr>
        <w:spacing w:after="140" w:line="300"/>
      </w:pPr>
      <w:r>
        <w:rPr>
          <w:color w:val="222222"/>
          <w:sz w:val="21"/>
          <w:szCs w:val="21"/>
        </w:rPr>
        <w:t xml:space="preserve">Avant de présenter le pitch tel quel devant un jury, trois affirmations méritent une correction ou une reformulation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7E6" w:sz="2"/>
              <w:left w:val="single" w:color="F59E0B" w:sz="24"/>
              <w:bottom w:val="single" w:color="FFF7E6" w:sz="2"/>
              <w:right w:val="single" w:color="FFF7E6" w:sz="2"/>
            </w:tcBorders>
            <w:shd w:fill="FFF7E6" w:color="auto" w:val="clear"/>
            <w:tcMar>
              <w:top w:type="dxa" w:w="140"/>
              <w:left w:type="dxa" w:w="200"/>
              <w:bottom w:type="dxa" w:w="140"/>
              <w:right w:type="dxa" w:w="200"/>
            </w:tcMar>
          </w:tcPr>
          <w:p>
            <w:pPr>
              <w:spacing w:after="60"/>
            </w:pPr>
            <w:r>
              <w:rPr>
                <w:b/>
                <w:bCs/>
                <w:color w:val="92400E"/>
                <w:sz w:val="20"/>
                <w:szCs w:val="20"/>
              </w:rPr>
              <w:t xml:space="preserve">Règle « teal réservé à Mystro » non respectée</w:t>
            </w:r>
          </w:p>
          <w:p>
            <w:pPr>
              <w:spacing w:after="0" w:line="280"/>
            </w:pPr>
            <w:r>
              <w:rPr>
                <w:color w:val="222222"/>
                <w:sz w:val="20"/>
                <w:szCs w:val="20"/>
              </w:rPr>
              <w:t xml:space="preserve">Le code utilise </w:t>
            </w:r>
            <w:r>
              <w:rPr>
                <w:i/>
                <w:iCs/>
                <w:color w:val="222222"/>
                <w:sz w:val="20"/>
                <w:szCs w:val="20"/>
              </w:rPr>
              <w:t xml:space="preserve">AppColors.teal</w:t>
            </w:r>
            <w:r>
              <w:rPr>
                <w:color w:val="222222"/>
                <w:sz w:val="20"/>
                <w:szCs w:val="20"/>
              </w:rPr>
              <w:t xml:space="preserve"> 122 fois dans 27 fichiers, en couleur d'accent générique (boutons, coche de case à cocher, barres de progression) — et teal est la première couleur proposée dans tous les sélecteurs de couleur (Habits, Classroom, Notebook, Tags). Un utilisateur peut aujourd'hui taguer un habit ou un notebook en teal. À corriger dans le code, ou à retirer du pitch.</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7E6" w:sz="2"/>
              <w:left w:val="single" w:color="F59E0B" w:sz="24"/>
              <w:bottom w:val="single" w:color="FFF7E6" w:sz="2"/>
              <w:right w:val="single" w:color="FFF7E6" w:sz="2"/>
            </w:tcBorders>
            <w:shd w:fill="FFF7E6" w:color="auto" w:val="clear"/>
            <w:tcMar>
              <w:top w:type="dxa" w:w="140"/>
              <w:left w:type="dxa" w:w="200"/>
              <w:bottom w:type="dxa" w:w="140"/>
              <w:right w:type="dxa" w:w="200"/>
            </w:tcMar>
          </w:tcPr>
          <w:p>
            <w:pPr>
              <w:spacing w:after="60"/>
            </w:pPr>
            <w:r>
              <w:rPr>
                <w:b/>
                <w:bCs/>
                <w:color w:val="92400E"/>
                <w:sz w:val="20"/>
                <w:szCs w:val="20"/>
              </w:rPr>
              <w:t xml:space="preserve">Les insights croisés Mystro ne sont pas encore implémentés</w:t>
            </w:r>
          </w:p>
          <w:p>
            <w:pPr>
              <w:spacing w:after="0" w:line="280"/>
            </w:pPr>
            <w:r>
              <w:rPr>
                <w:color w:val="222222"/>
                <w:sz w:val="20"/>
                <w:szCs w:val="20"/>
              </w:rPr>
              <w:t xml:space="preserve">Les exemples cités (« tu estimes 30 min, tu mets 55 en moyenne », « ton taux de complétion est de 78% entre 9h et 11h ») décrivent une analyse qui n'existe pas encore. Mystro fait aujourd'hui du chat générique et de la génération de flashcards depuis une note — il ne lit jamais les données Task ou FocusSession de l'utilisateur. À présenter comme objectif, pas comme fonctionnalité livrée.</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7E6" w:sz="2"/>
              <w:left w:val="single" w:color="F59E0B" w:sz="24"/>
              <w:bottom w:val="single" w:color="FFF7E6" w:sz="2"/>
              <w:right w:val="single" w:color="FFF7E6" w:sz="2"/>
            </w:tcBorders>
            <w:shd w:fill="FFF7E6" w:color="auto" w:val="clear"/>
            <w:tcMar>
              <w:top w:type="dxa" w:w="140"/>
              <w:left w:type="dxa" w:w="200"/>
              <w:bottom w:type="dxa" w:w="140"/>
              <w:right w:type="dxa" w:w="200"/>
            </w:tcMar>
          </w:tcPr>
          <w:p>
            <w:pPr>
              <w:spacing w:after="60"/>
            </w:pPr>
            <w:r>
              <w:rPr>
                <w:b/>
                <w:bCs/>
                <w:color w:val="92400E"/>
                <w:sz w:val="20"/>
                <w:szCs w:val="20"/>
              </w:rPr>
              <w:t xml:space="preserve">Mentions « API Claude » à corriger</w:t>
            </w:r>
          </w:p>
          <w:p>
            <w:pPr>
              <w:spacing w:after="0" w:line="280"/>
            </w:pPr>
            <w:r>
              <w:rPr>
                <w:color w:val="222222"/>
                <w:sz w:val="20"/>
                <w:szCs w:val="20"/>
              </w:rPr>
              <w:t xml:space="preserve">Le modèle économique (section 10) et un précédent schéma d'architecture citent l'API Claude pour Mystro. L'implémentation actuelle tourne sur l'API Gemini de Google (gratuite).</w:t>
            </w:r>
          </w:p>
        </w:tc>
      </w:tr>
    </w:tbl>
    <w:p>
      <w:pPr>
        <w:pStyle w:val="Heading1"/>
        <w:pBdr>
          <w:bottom w:val="single" w:color="14B8A6" w:sz="6" w:space="4"/>
        </w:pBdr>
        <w:spacing w:after="160" w:before="320"/>
      </w:pPr>
      <w:r>
        <w:rPr>
          <w:b/>
          <w:bCs/>
          <w:color w:val="1E2A4A"/>
          <w:sz w:val="26"/>
          <w:szCs w:val="26"/>
        </w:rPr>
        <w:t xml:space="preserve">9. Décisions à arbitrer avec l'encadrant</w:t>
      </w:r>
    </w:p>
    <w:p>
      <w:pPr>
        <w:pStyle w:val="ListParagraph"/>
        <w:numPr>
          <w:ilvl w:val="0"/>
          <w:numId w:val="2"/>
        </w:numPr>
        <w:spacing w:after="80" w:line="280"/>
      </w:pPr>
      <w:r>
        <w:rPr>
          <w:color w:val="222222"/>
          <w:sz w:val="21"/>
          <w:szCs w:val="21"/>
        </w:rPr>
        <w:t xml:space="preserve">Le développement du backend réel (v2) entre-t-il dans le périmètre de la soutenance, ou reste-t-il présenté comme perspective ?</w:t>
      </w:r>
    </w:p>
    <w:p>
      <w:pPr>
        <w:pStyle w:val="ListParagraph"/>
        <w:numPr>
          <w:ilvl w:val="0"/>
          <w:numId w:val="2"/>
        </w:numPr>
        <w:spacing w:after="80" w:line="280"/>
      </w:pPr>
      <w:r>
        <w:rPr>
          <w:color w:val="222222"/>
          <w:sz w:val="21"/>
          <w:szCs w:val="21"/>
        </w:rPr>
        <w:t xml:space="preserve">Si le développement démarre : authentification réelle + synchronisation complète (tâches + sessions + groupes), ou module Groupes seul (streaks/progression indisponibles) ?</w:t>
      </w:r>
    </w:p>
    <w:p>
      <w:pPr>
        <w:pStyle w:val="ListParagraph"/>
        <w:numPr>
          <w:ilvl w:val="0"/>
          <w:numId w:val="2"/>
        </w:numPr>
        <w:spacing w:after="80" w:line="280"/>
      </w:pPr>
      <w:r>
        <w:rPr>
          <w:color w:val="222222"/>
          <w:sz w:val="21"/>
          <w:szCs w:val="21"/>
        </w:rPr>
        <w:t xml:space="preserve">Niveau d'authentification : comptes réels (recommandé) vs. simple nom associé (plus rapide, non sécurisé).</w:t>
      </w:r>
    </w:p>
    <w:p>
      <w:pPr>
        <w:pStyle w:val="ListParagraph"/>
        <w:numPr>
          <w:ilvl w:val="0"/>
          <w:numId w:val="2"/>
        </w:numPr>
        <w:spacing w:after="80" w:line="280"/>
      </w:pPr>
      <w:r>
        <w:rPr>
          <w:color w:val="222222"/>
          <w:sz w:val="21"/>
          <w:szCs w:val="21"/>
        </w:rPr>
        <w:t xml:space="preserve">Les trois points de vigilance ci-dessus : corriger le code pour respecter le pitch, ou ajuster le pitch pour refléter l'état réel du code ?</w:t>
      </w:r>
    </w:p>
    <w:p>
      <w:pPr>
        <w:pStyle w:val="Heading1"/>
        <w:pBdr>
          <w:bottom w:val="single" w:color="14B8A6" w:sz="6" w:space="4"/>
        </w:pBdr>
        <w:spacing w:after="160" w:before="320"/>
      </w:pPr>
      <w:r>
        <w:rPr>
          <w:b/>
          <w:bCs/>
          <w:color w:val="1E2A4A"/>
          <w:sz w:val="26"/>
          <w:szCs w:val="26"/>
        </w:rPr>
        <w:t xml:space="preserve">10. Modèle économique (long terme)</w:t>
      </w:r>
    </w:p>
    <w:p>
      <w:pPr>
        <w:spacing w:after="140" w:line="300"/>
      </w:pPr>
      <w:r>
        <w:rPr>
          <w:color w:val="222222"/>
          <w:sz w:val="21"/>
          <w:szCs w:val="21"/>
        </w:rPr>
        <w:t xml:space="preserve">Freemium adapté au pouvoir d'achat étudiant marocain :</w:t>
      </w:r>
    </w:p>
    <w:p>
      <w:pPr>
        <w:pStyle w:val="ListParagraph"/>
        <w:numPr>
          <w:ilvl w:val="0"/>
          <w:numId w:val="2"/>
        </w:numPr>
        <w:spacing w:after="80" w:line="280"/>
      </w:pPr>
      <w:r>
        <w:rPr>
          <w:color w:val="222222"/>
          <w:sz w:val="21"/>
          <w:szCs w:val="21"/>
        </w:rPr>
        <w:t xml:space="preserve">Gratuit : tâches + Pomodoro + insights de base.</w:t>
      </w:r>
    </w:p>
    <w:p>
      <w:pPr>
        <w:pStyle w:val="ListParagraph"/>
        <w:numPr>
          <w:ilvl w:val="0"/>
          <w:numId w:val="2"/>
        </w:numPr>
        <w:spacing w:after="80" w:line="280"/>
      </w:pPr>
      <w:r>
        <w:rPr>
          <w:color w:val="222222"/>
          <w:sz w:val="21"/>
          <w:szCs w:val="21"/>
        </w:rPr>
        <w:t xml:space="preserve">Premium : Mystro illimité, flashcards IA, statistiques avancées.</w:t>
      </w:r>
    </w:p>
    <w:p>
      <w:pPr>
        <w:pStyle w:val="ListParagraph"/>
        <w:numPr>
          <w:ilvl w:val="0"/>
          <w:numId w:val="2"/>
        </w:numPr>
        <w:spacing w:after="80" w:line="280"/>
      </w:pPr>
      <w:r>
        <w:rPr>
          <w:color w:val="222222"/>
          <w:sz w:val="21"/>
          <w:szCs w:val="21"/>
        </w:rPr>
        <w:t xml:space="preserve">Licence établissement : pour le module Classroom.</w:t>
      </w:r>
    </w:p>
    <w:p>
      <w:pPr>
        <w:pStyle w:val="Heading1"/>
        <w:pBdr>
          <w:bottom w:val="single" w:color="14B8A6" w:sz="6" w:space="4"/>
        </w:pBdr>
        <w:spacing w:after="160" w:before="320"/>
      </w:pPr>
      <w:r>
        <w:rPr>
          <w:b/>
          <w:bCs/>
          <w:color w:val="1E2A4A"/>
          <w:sz w:val="26"/>
          <w:szCs w:val="26"/>
        </w:rPr>
        <w:t xml:space="preserve">11. Prochaine étape proposée</w:t>
      </w:r>
    </w:p>
    <w:p>
      <w:pPr>
        <w:spacing w:after="140" w:line="300"/>
      </w:pPr>
      <w:r>
        <w:rPr>
          <w:color w:val="222222"/>
          <w:sz w:val="21"/>
          <w:szCs w:val="21"/>
        </w:rPr>
        <w:t xml:space="preserve">Dans l'attente des arbitrages ci-dessus : mise en place du projet Supabase, définition du schéma de données (profils, groupes, membres, tâches diffusées), puis migration de l'authentification.</w:t>
      </w:r>
    </w:p>
    <w:p>
      <w:pPr>
        <w:pStyle w:val="Heading1"/>
        <w:pBdr>
          <w:bottom w:val="single" w:color="14B8A6" w:sz="6" w:space="4"/>
        </w:pBdr>
        <w:spacing w:after="160" w:before="320"/>
      </w:pPr>
      <w:r>
        <w:rPr>
          <w:b/>
          <w:bCs/>
          <w:color w:val="1E2A4A"/>
          <w:sz w:val="26"/>
          <w:szCs w:val="26"/>
        </w:rPr>
        <w:t xml:space="preserve">12. Synthèse</w:t>
      </w:r>
    </w:p>
    <w:p>
      <w:pPr>
        <w:pBdr>
          <w:left w:val="single" w:color="14B8A6" w:sz="18" w:space="8"/>
        </w:pBdr>
        <w:spacing w:after="160" w:before="160" w:line="300"/>
        <w:ind w:left="504"/>
      </w:pPr>
      <w:r>
        <w:rPr>
          <w:i/>
          <w:iCs/>
          <w:color w:val="1E2A4A"/>
          <w:sz w:val="21"/>
          <w:szCs w:val="21"/>
        </w:rPr>
        <w:t xml:space="preserve">Quill.AI aura deux boucles : la boucle d'exécution — plan, focus, écart — déjà réalisée, et la boucle du savoir — note, carte, mémoire — en perspective. Mystro est le point où les deux se rejoignent.</w:t>
      </w:r>
    </w:p>
    <w:p>
      <w:pPr>
        <w:pBdr>
          <w:left w:val="single" w:color="14B8A6" w:sz="18" w:space="8"/>
        </w:pBdr>
        <w:spacing w:after="160" w:before="160" w:line="300"/>
        <w:ind w:left="504"/>
      </w:pPr>
      <w:r>
        <w:rPr>
          <w:i/>
          <w:iCs/>
          <w:color w:val="1E2A4A"/>
          <w:sz w:val="21"/>
          <w:szCs w:val="21"/>
        </w:rPr>
        <w:t xml:space="preserve">Toutes les apps de productivité enregistrent ce que l'étudiant prévoit de faire. Aucune ne mesure ce qu'il fait réellement. Quill.AI fait les deux — et son assistant IA lit l'écart entre les deux pour transformer chaque semaine ratée en meilleur plan pour la suivante.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2026-07-18T13:04:35.685Z</dcterms:created>
  <dcterms:modified xsi:type="dcterms:W3CDTF">2026-07-18T13:04:35.685Z</dcterms:modified>
</cp:coreProperties>
</file>

<file path=docProps/custom.xml><?xml version="1.0" encoding="utf-8"?>
<Properties xmlns="http://schemas.openxmlformats.org/officeDocument/2006/custom-properties" xmlns:vt="http://schemas.openxmlformats.org/officeDocument/2006/docPropsVTypes"/>
</file>