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bCs/>
          <w:color w:val="9B8EC4"/>
          <w:sz w:val="18"/>
          <w:szCs w:val="18"/>
        </w:rPr>
        <w:t xml:space="preserve">INSTRUCTIONAL DESIGN SAMPLE</w:t>
      </w:r>
    </w:p>
    <w:p>
      <w:pPr>
        <w:spacing w:before="0" w:after="120"/>
      </w:pPr>
      <w:r>
        <w:rPr>
          <w:rFonts w:ascii="Arial" w:cs="Arial" w:eastAsia="Arial" w:hAnsi="Arial"/>
          <w:b/>
          <w:bCs/>
          <w:color w:val="3D6B4F"/>
          <w:sz w:val="52"/>
          <w:szCs w:val="52"/>
        </w:rPr>
        <w:t xml:space="preserve">Teaching with AI</w:t>
      </w:r>
    </w:p>
    <w:p>
      <w:pPr>
        <w:spacing w:before="0" w:after="40"/>
      </w:pPr>
      <w:r>
        <w:rPr>
          <w:rFonts w:ascii="Arial" w:cs="Arial" w:eastAsia="Arial" w:hAnsi="Arial"/>
          <w:color w:val="141C14"/>
          <w:sz w:val="28"/>
          <w:szCs w:val="28"/>
        </w:rPr>
        <w:t xml:space="preserve">A Micro-Course for K–12 Educators</w:t>
      </w:r>
    </w:p>
    <w:p>
      <w:pPr>
        <w:spacing w:before="60" w:after="60"/>
      </w:pPr>
      <w:r>
        <w:t xml:space="preserve"/>
      </w:r>
    </w:p>
    <w:p>
      <w:pPr>
        <w:pBdr>
          <w:bottom w:val="single" w:color="B8CDB8" w:sz="4" w:space="4"/>
        </w:pBdr>
        <w:spacing w:before="40" w:after="24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Pr>
          <w:p>
            <w:r>
              <w:rPr>
                <w:rFonts w:ascii="Arial" w:cs="Arial" w:eastAsia="Arial" w:hAnsi="Arial"/>
                <w:b/>
                <w:bCs/>
                <w:color w:val="9B8EC4"/>
                <w:sz w:val="16"/>
                <w:szCs w:val="16"/>
              </w:rPr>
              <w:t xml:space="preserve">DESIGNER</w:t>
            </w:r>
          </w:p>
        </w:tc>
        <w:tc>
          <w:tcPr>
            <w:tcW w:type="dxa" w:w="7360"/>
            <w:tcBorders>
              <w:top w:val="none" w:color="FFFFFF" w:sz="0"/>
              <w:left w:val="none" w:color="FFFFFF" w:sz="0"/>
              <w:bottom w:val="none" w:color="FFFFFF" w:sz="0"/>
              <w:right w:val="none" w:color="FFFFFF" w:sz="0"/>
            </w:tcBorders>
          </w:tcPr>
          <w:p>
            <w:r>
              <w:rPr>
                <w:rFonts w:ascii="Arial" w:cs="Arial" w:eastAsia="Arial" w:hAnsi="Arial"/>
                <w:color w:val="141C14"/>
                <w:sz w:val="20"/>
                <w:szCs w:val="20"/>
              </w:rPr>
              <w:t xml:space="preserve">Hana Morsi</w:t>
            </w:r>
          </w:p>
        </w:tc>
      </w:tr>
      <w:tr>
        <w:tc>
          <w:tcPr>
            <w:tcW w:type="dxa" w:w="2000"/>
            <w:tcBorders>
              <w:top w:val="none" w:color="FFFFFF" w:sz="0"/>
              <w:left w:val="none" w:color="FFFFFF" w:sz="0"/>
              <w:bottom w:val="none" w:color="FFFFFF" w:sz="0"/>
              <w:right w:val="none" w:color="FFFFFF" w:sz="0"/>
            </w:tcBorders>
          </w:tcPr>
          <w:p>
            <w:r>
              <w:rPr>
                <w:rFonts w:ascii="Arial" w:cs="Arial" w:eastAsia="Arial" w:hAnsi="Arial"/>
                <w:b/>
                <w:bCs/>
                <w:color w:val="9B8EC4"/>
                <w:sz w:val="16"/>
                <w:szCs w:val="16"/>
              </w:rPr>
              <w:t xml:space="preserve">STUDIO</w:t>
            </w:r>
          </w:p>
        </w:tc>
        <w:tc>
          <w:tcPr>
            <w:tcW w:type="dxa" w:w="7360"/>
            <w:tcBorders>
              <w:top w:val="none" w:color="FFFFFF" w:sz="0"/>
              <w:left w:val="none" w:color="FFFFFF" w:sz="0"/>
              <w:bottom w:val="none" w:color="FFFFFF" w:sz="0"/>
              <w:right w:val="none" w:color="FFFFFF" w:sz="0"/>
            </w:tcBorders>
          </w:tcPr>
          <w:p>
            <w:r>
              <w:rPr>
                <w:rFonts w:ascii="Arial" w:cs="Arial" w:eastAsia="Arial" w:hAnsi="Arial"/>
                <w:color w:val="141C14"/>
                <w:sz w:val="20"/>
                <w:szCs w:val="20"/>
              </w:rPr>
              <w:t xml:space="preserve">hyasmo</w:t>
            </w:r>
          </w:p>
        </w:tc>
      </w:tr>
      <w:tr>
        <w:tc>
          <w:tcPr>
            <w:tcW w:type="dxa" w:w="2000"/>
            <w:tcBorders>
              <w:top w:val="none" w:color="FFFFFF" w:sz="0"/>
              <w:left w:val="none" w:color="FFFFFF" w:sz="0"/>
              <w:bottom w:val="none" w:color="FFFFFF" w:sz="0"/>
              <w:right w:val="none" w:color="FFFFFF" w:sz="0"/>
            </w:tcBorders>
          </w:tcPr>
          <w:p>
            <w:r>
              <w:rPr>
                <w:rFonts w:ascii="Arial" w:cs="Arial" w:eastAsia="Arial" w:hAnsi="Arial"/>
                <w:b/>
                <w:bCs/>
                <w:color w:val="9B8EC4"/>
                <w:sz w:val="16"/>
                <w:szCs w:val="16"/>
              </w:rPr>
              <w:t xml:space="preserve">AUDIENCE</w:t>
            </w:r>
          </w:p>
        </w:tc>
        <w:tc>
          <w:tcPr>
            <w:tcW w:type="dxa" w:w="7360"/>
            <w:tcBorders>
              <w:top w:val="none" w:color="FFFFFF" w:sz="0"/>
              <w:left w:val="none" w:color="FFFFFF" w:sz="0"/>
              <w:bottom w:val="none" w:color="FFFFFF" w:sz="0"/>
              <w:right w:val="none" w:color="FFFFFF" w:sz="0"/>
            </w:tcBorders>
          </w:tcPr>
          <w:p>
            <w:r>
              <w:rPr>
                <w:rFonts w:ascii="Arial" w:cs="Arial" w:eastAsia="Arial" w:hAnsi="Arial"/>
                <w:color w:val="141C14"/>
                <w:sz w:val="20"/>
                <w:szCs w:val="20"/>
              </w:rPr>
              <w:t xml:space="preserve">K–12 Educators (all subjects, all grade bands)</w:t>
            </w:r>
          </w:p>
        </w:tc>
      </w:tr>
      <w:tr>
        <w:tc>
          <w:tcPr>
            <w:tcW w:type="dxa" w:w="2000"/>
            <w:tcBorders>
              <w:top w:val="none" w:color="FFFFFF" w:sz="0"/>
              <w:left w:val="none" w:color="FFFFFF" w:sz="0"/>
              <w:bottom w:val="none" w:color="FFFFFF" w:sz="0"/>
              <w:right w:val="none" w:color="FFFFFF" w:sz="0"/>
            </w:tcBorders>
          </w:tcPr>
          <w:p>
            <w:r>
              <w:rPr>
                <w:rFonts w:ascii="Arial" w:cs="Arial" w:eastAsia="Arial" w:hAnsi="Arial"/>
                <w:b/>
                <w:bCs/>
                <w:color w:val="9B8EC4"/>
                <w:sz w:val="16"/>
                <w:szCs w:val="16"/>
              </w:rPr>
              <w:t xml:space="preserve">FORMAT</w:t>
            </w:r>
          </w:p>
        </w:tc>
        <w:tc>
          <w:tcPr>
            <w:tcW w:type="dxa" w:w="7360"/>
            <w:tcBorders>
              <w:top w:val="none" w:color="FFFFFF" w:sz="0"/>
              <w:left w:val="none" w:color="FFFFFF" w:sz="0"/>
              <w:bottom w:val="none" w:color="FFFFFF" w:sz="0"/>
              <w:right w:val="none" w:color="FFFFFF" w:sz="0"/>
            </w:tcBorders>
          </w:tcPr>
          <w:p>
            <w:r>
              <w:rPr>
                <w:rFonts w:ascii="Arial" w:cs="Arial" w:eastAsia="Arial" w:hAnsi="Arial"/>
                <w:color w:val="141C14"/>
                <w:sz w:val="20"/>
                <w:szCs w:val="20"/>
              </w:rPr>
              <w:t xml:space="preserve">Asynchronous micro-course, LMS-deliverable</w:t>
            </w:r>
          </w:p>
        </w:tc>
      </w:tr>
      <w:tr>
        <w:tc>
          <w:tcPr>
            <w:tcW w:type="dxa" w:w="2000"/>
            <w:tcBorders>
              <w:top w:val="none" w:color="FFFFFF" w:sz="0"/>
              <w:left w:val="none" w:color="FFFFFF" w:sz="0"/>
              <w:bottom w:val="none" w:color="FFFFFF" w:sz="0"/>
              <w:right w:val="none" w:color="FFFFFF" w:sz="0"/>
            </w:tcBorders>
          </w:tcPr>
          <w:p>
            <w:r>
              <w:rPr>
                <w:rFonts w:ascii="Arial" w:cs="Arial" w:eastAsia="Arial" w:hAnsi="Arial"/>
                <w:b/>
                <w:bCs/>
                <w:color w:val="9B8EC4"/>
                <w:sz w:val="16"/>
                <w:szCs w:val="16"/>
              </w:rPr>
              <w:t xml:space="preserve">DURATION</w:t>
            </w:r>
          </w:p>
        </w:tc>
        <w:tc>
          <w:tcPr>
            <w:tcW w:type="dxa" w:w="7360"/>
            <w:tcBorders>
              <w:top w:val="none" w:color="FFFFFF" w:sz="0"/>
              <w:left w:val="none" w:color="FFFFFF" w:sz="0"/>
              <w:bottom w:val="none" w:color="FFFFFF" w:sz="0"/>
              <w:right w:val="none" w:color="FFFFFF" w:sz="0"/>
            </w:tcBorders>
          </w:tcPr>
          <w:p>
            <w:r>
              <w:rPr>
                <w:rFonts w:ascii="Arial" w:cs="Arial" w:eastAsia="Arial" w:hAnsi="Arial"/>
                <w:color w:val="141C14"/>
                <w:sz w:val="20"/>
                <w:szCs w:val="20"/>
              </w:rPr>
              <w:t xml:space="preserve">3 modules · 9 lessons · ~4–6 hours · 0.5 CEU</w:t>
            </w:r>
          </w:p>
        </w:tc>
      </w:tr>
      <w:tr>
        <w:tc>
          <w:tcPr>
            <w:tcW w:type="dxa" w:w="2000"/>
            <w:tcBorders>
              <w:top w:val="none" w:color="FFFFFF" w:sz="0"/>
              <w:left w:val="none" w:color="FFFFFF" w:sz="0"/>
              <w:bottom w:val="none" w:color="FFFFFF" w:sz="0"/>
              <w:right w:val="none" w:color="FFFFFF" w:sz="0"/>
            </w:tcBorders>
          </w:tcPr>
          <w:p>
            <w:r>
              <w:rPr>
                <w:rFonts w:ascii="Arial" w:cs="Arial" w:eastAsia="Arial" w:hAnsi="Arial"/>
                <w:b/>
                <w:bCs/>
                <w:color w:val="9B8EC4"/>
                <w:sz w:val="16"/>
                <w:szCs w:val="16"/>
              </w:rPr>
              <w:t xml:space="preserve">YEAR</w:t>
            </w:r>
          </w:p>
        </w:tc>
        <w:tc>
          <w:tcPr>
            <w:tcW w:type="dxa" w:w="7360"/>
            <w:tcBorders>
              <w:top w:val="none" w:color="FFFFFF" w:sz="0"/>
              <w:left w:val="none" w:color="FFFFFF" w:sz="0"/>
              <w:bottom w:val="none" w:color="FFFFFF" w:sz="0"/>
              <w:right w:val="none" w:color="FFFFFF" w:sz="0"/>
            </w:tcBorders>
          </w:tcPr>
          <w:p>
            <w:r>
              <w:rPr>
                <w:rFonts w:ascii="Arial" w:cs="Arial" w:eastAsia="Arial" w:hAnsi="Arial"/>
                <w:color w:val="141C14"/>
                <w:sz w:val="20"/>
                <w:szCs w:val="20"/>
              </w:rPr>
              <w:t xml:space="preserve">2026</w:t>
            </w:r>
          </w:p>
        </w:tc>
      </w:tr>
    </w:tbl>
    <w:p>
      <w:pPr>
        <w:spacing w:before="60" w:after="60"/>
      </w:pPr>
      <w:r>
        <w:t xml:space="preserve"/>
      </w:r>
    </w:p>
    <w:p>
      <w:pPr>
        <w:spacing w:before="60" w:after="60"/>
      </w:pPr>
      <w:r>
        <w:t xml:space="preserve"/>
      </w:r>
    </w:p>
    <w:p>
      <w:pPr>
        <w:pBdr>
          <w:bottom w:val="single" w:color="B8CDB8" w:sz="4" w:space="4"/>
        </w:pBdr>
        <w:spacing w:before="40" w:after="120"/>
      </w:pPr>
      <w:r>
        <w:t xml:space="preserve"/>
      </w:r>
    </w:p>
    <w:p>
      <w:pPr>
        <w:spacing w:before="60" w:after="0"/>
      </w:pPr>
      <w:r>
        <w:rPr>
          <w:rFonts w:ascii="Arial" w:cs="Arial" w:eastAsia="Arial" w:hAnsi="Arial"/>
          <w:color w:val="B8CDB8"/>
          <w:sz w:val="18"/>
          <w:szCs w:val="18"/>
        </w:rPr>
        <w:t xml:space="preserve">Design frameworks applied: ADDIE · UDL · Bloom’s Taxonomy · TPACK · Constructivism · Critical Pedagogy · Kirkpatrick Evaluation</w:t>
      </w:r>
    </w:p>
    <w:p>
      <w:r>
        <w:br w:type="page"/>
      </w:r>
    </w:p>
    <w:p>
      <w:pPr>
        <w:pStyle w:val="Heading1"/>
        <w:pBdr>
          <w:bottom w:val="single" w:color="3D6B4F" w:sz="6" w:space="6"/>
        </w:pBdr>
        <w:spacing w:before="360" w:after="120"/>
      </w:pPr>
      <w:r>
        <w:rPr>
          <w:rFonts w:ascii="Arial" w:cs="Arial" w:eastAsia="Arial" w:hAnsi="Arial"/>
          <w:b/>
          <w:bCs/>
          <w:color w:val="3D6B4F"/>
          <w:sz w:val="28"/>
          <w:szCs w:val="28"/>
        </w:rPr>
        <w:t xml:space="preserve">Course Overview</w:t>
      </w:r>
    </w:p>
    <w:p>
      <w:pPr>
        <w:spacing w:before="60" w:after="60"/>
      </w:pPr>
      <w:r>
        <w:rPr>
          <w:rFonts w:ascii="Arial" w:cs="Arial" w:eastAsia="Arial" w:hAnsi="Arial"/>
          <w:color w:val="141C14"/>
          <w:sz w:val="20"/>
          <w:szCs w:val="20"/>
        </w:rPr>
        <w:t xml:space="preserve">Teaching with AI is a professional development micro-course designed to build meaningful, ethical AI fluency in K–12 educators. Unlike tool-focused trainings, this course is anchored in pedagogy: every module asks not just “what can AI do?” but “what should you do with it, and why?”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8EC4" w:sz="8"/>
              <w:left w:val="none" w:color="FFFFFF" w:sz="0"/>
              <w:bottom w:val="none" w:color="FFFFFF" w:sz="0"/>
              <w:right w:val="none" w:color="FFFFFF" w:sz="0"/>
            </w:tcBorders>
            <w:shd w:fill="EDE9F8" w:val="clear"/>
            <w:tcMar>
              <w:top w:type="dxa" w:w="120"/>
              <w:left w:type="dxa" w:w="160"/>
              <w:bottom w:type="dxa" w:w="120"/>
              <w:right w:type="dxa" w:w="160"/>
            </w:tcMar>
          </w:tcPr>
          <w:p>
            <w:pPr>
              <w:spacing w:before="0" w:after="60"/>
            </w:pPr>
            <w:r>
              <w:rPr>
                <w:rFonts w:ascii="Arial" w:cs="Arial" w:eastAsia="Arial" w:hAnsi="Arial"/>
                <w:b/>
                <w:bCs/>
                <w:color w:val="9B8EC4"/>
                <w:sz w:val="16"/>
                <w:szCs w:val="16"/>
              </w:rPr>
              <w:t xml:space="preserve">CORE DESIGN PHILOSOPHY</w:t>
            </w:r>
          </w:p>
          <w:p>
            <w:pPr>
              <w:spacing w:before="0" w:after="0"/>
            </w:pPr>
            <w:r>
              <w:rPr>
                <w:rFonts w:ascii="Arial" w:cs="Arial" w:eastAsia="Arial" w:hAnsi="Arial"/>
                <w:color w:val="141C14"/>
                <w:sz w:val="20"/>
                <w:szCs w:val="20"/>
              </w:rPr>
              <w:t xml:space="preserve">Good learning design is empathic, user-centered, and uncomplicated in its path to learning. This course was built with that principle in its architecture: short lessons, clear outcomes, real decisions, and no jargon.</w:t>
            </w:r>
          </w:p>
        </w:tc>
      </w:tr>
    </w:tbl>
    <w:p>
      <w:pPr>
        <w:spacing w:before="60" w:after="60"/>
      </w:pPr>
      <w:r>
        <w:t xml:space="preserve"/>
      </w:r>
    </w:p>
    <w:p>
      <w:pPr>
        <w:pStyle w:val="Heading2"/>
        <w:spacing w:before="240" w:after="80"/>
      </w:pPr>
      <w:r>
        <w:rPr>
          <w:rFonts w:ascii="Arial" w:cs="Arial" w:eastAsia="Arial" w:hAnsi="Arial"/>
          <w:b/>
          <w:bCs/>
          <w:color w:val="9B8EC4"/>
          <w:sz w:val="24"/>
          <w:szCs w:val="24"/>
        </w:rPr>
        <w:t xml:space="preserve">Target Learners</w:t>
      </w:r>
    </w:p>
    <w:p>
      <w:pPr>
        <w:pStyle w:val="ListParagraph"/>
        <w:numPr>
          <w:ilvl w:val="0"/>
          <w:numId w:val="2"/>
        </w:numPr>
        <w:spacing w:before="40" w:after="40"/>
      </w:pPr>
      <w:r>
        <w:rPr>
          <w:rFonts w:ascii="Arial" w:cs="Arial" w:eastAsia="Arial" w:hAnsi="Arial"/>
          <w:color w:val="141C14"/>
          <w:sz w:val="20"/>
          <w:szCs w:val="20"/>
        </w:rPr>
        <w:t xml:space="preserve">K–12 classroom teachers, all subjects and grade bands</w:t>
      </w:r>
    </w:p>
    <w:p>
      <w:pPr>
        <w:pStyle w:val="ListParagraph"/>
        <w:numPr>
          <w:ilvl w:val="0"/>
          <w:numId w:val="2"/>
        </w:numPr>
        <w:spacing w:before="40" w:after="40"/>
      </w:pPr>
      <w:r>
        <w:rPr>
          <w:rFonts w:ascii="Arial" w:cs="Arial" w:eastAsia="Arial" w:hAnsi="Arial"/>
          <w:color w:val="141C14"/>
          <w:sz w:val="20"/>
          <w:szCs w:val="20"/>
        </w:rPr>
        <w:t xml:space="preserve">Instructional coaches and curriculum coordinators</w:t>
      </w:r>
    </w:p>
    <w:p>
      <w:pPr>
        <w:pStyle w:val="ListParagraph"/>
        <w:numPr>
          <w:ilvl w:val="0"/>
          <w:numId w:val="2"/>
        </w:numPr>
        <w:spacing w:before="40" w:after="40"/>
      </w:pPr>
      <w:r>
        <w:rPr>
          <w:rFonts w:ascii="Arial" w:cs="Arial" w:eastAsia="Arial" w:hAnsi="Arial"/>
          <w:color w:val="141C14"/>
          <w:sz w:val="20"/>
          <w:szCs w:val="20"/>
        </w:rPr>
        <w:t xml:space="preserve">School and district technology integration leads</w:t>
      </w:r>
    </w:p>
    <w:p>
      <w:pPr>
        <w:pStyle w:val="ListParagraph"/>
        <w:numPr>
          <w:ilvl w:val="0"/>
          <w:numId w:val="2"/>
        </w:numPr>
        <w:spacing w:before="40" w:after="40"/>
      </w:pPr>
      <w:r>
        <w:rPr>
          <w:rFonts w:ascii="Arial" w:cs="Arial" w:eastAsia="Arial" w:hAnsi="Arial"/>
          <w:color w:val="141C14"/>
          <w:sz w:val="20"/>
          <w:szCs w:val="20"/>
        </w:rPr>
        <w:t xml:space="preserve">Special education and ESL/ELL specialists seeking accessible AI guidance</w:t>
      </w:r>
    </w:p>
    <w:p>
      <w:pPr>
        <w:spacing w:before="60" w:after="60"/>
      </w:pPr>
      <w:r>
        <w:t xml:space="preserve"/>
      </w:r>
    </w:p>
    <w:p>
      <w:pPr>
        <w:pStyle w:val="Heading2"/>
        <w:spacing w:before="240" w:after="80"/>
      </w:pPr>
      <w:r>
        <w:rPr>
          <w:rFonts w:ascii="Arial" w:cs="Arial" w:eastAsia="Arial" w:hAnsi="Arial"/>
          <w:b/>
          <w:bCs/>
          <w:color w:val="9B8EC4"/>
          <w:sz w:val="24"/>
          <w:szCs w:val="24"/>
        </w:rPr>
        <w:t xml:space="preserve">Prerequisites</w:t>
      </w:r>
    </w:p>
    <w:p>
      <w:pPr>
        <w:pStyle w:val="ListParagraph"/>
        <w:numPr>
          <w:ilvl w:val="0"/>
          <w:numId w:val="2"/>
        </w:numPr>
        <w:spacing w:before="40" w:after="40"/>
      </w:pPr>
      <w:r>
        <w:rPr>
          <w:rFonts w:ascii="Arial" w:cs="Arial" w:eastAsia="Arial" w:hAnsi="Arial"/>
          <w:color w:val="141C14"/>
          <w:sz w:val="20"/>
          <w:szCs w:val="20"/>
        </w:rPr>
        <w:t xml:space="preserve">Comfort using a computer and the internet</w:t>
      </w:r>
    </w:p>
    <w:p>
      <w:pPr>
        <w:pStyle w:val="ListParagraph"/>
        <w:numPr>
          <w:ilvl w:val="0"/>
          <w:numId w:val="2"/>
        </w:numPr>
        <w:spacing w:before="40" w:after="40"/>
      </w:pPr>
      <w:r>
        <w:rPr>
          <w:rFonts w:ascii="Arial" w:cs="Arial" w:eastAsia="Arial" w:hAnsi="Arial"/>
          <w:color w:val="141C14"/>
          <w:sz w:val="20"/>
          <w:szCs w:val="20"/>
        </w:rPr>
        <w:t xml:space="preserve">Active classroom or instructional role</w:t>
      </w:r>
    </w:p>
    <w:p>
      <w:pPr>
        <w:pStyle w:val="ListParagraph"/>
        <w:numPr>
          <w:ilvl w:val="0"/>
          <w:numId w:val="2"/>
        </w:numPr>
        <w:spacing w:before="40" w:after="40"/>
      </w:pPr>
      <w:r>
        <w:rPr>
          <w:rFonts w:ascii="Arial" w:cs="Arial" w:eastAsia="Arial" w:hAnsi="Arial"/>
          <w:color w:val="141C14"/>
          <w:sz w:val="20"/>
          <w:szCs w:val="20"/>
        </w:rPr>
        <w:t xml:space="preserve">No prior AI experience required</w:t>
      </w:r>
    </w:p>
    <w:p>
      <w:pPr>
        <w:spacing w:before="60" w:after="60"/>
      </w:pPr>
      <w:r>
        <w:t xml:space="preserve"/>
      </w:r>
    </w:p>
    <w:p>
      <w:pPr>
        <w:pStyle w:val="Heading2"/>
        <w:spacing w:before="240" w:after="80"/>
      </w:pPr>
      <w:r>
        <w:rPr>
          <w:rFonts w:ascii="Arial" w:cs="Arial" w:eastAsia="Arial" w:hAnsi="Arial"/>
          <w:b/>
          <w:bCs/>
          <w:color w:val="9B8EC4"/>
          <w:sz w:val="24"/>
          <w:szCs w:val="24"/>
        </w:rPr>
        <w:t xml:space="preserve">Learning Outcomes</w:t>
      </w:r>
    </w:p>
    <w:p>
      <w:pPr>
        <w:spacing w:before="60" w:after="60"/>
      </w:pPr>
      <w:r>
        <w:rPr>
          <w:rFonts w:ascii="Arial" w:cs="Arial" w:eastAsia="Arial" w:hAnsi="Arial"/>
          <w:color w:val="141C14"/>
          <w:sz w:val="20"/>
          <w:szCs w:val="20"/>
        </w:rPr>
        <w:t xml:space="preserve">By the end of this course, educators will be able to:</w:t>
      </w:r>
    </w:p>
    <w:p>
      <w:pPr>
        <w:pStyle w:val="ListParagraph"/>
        <w:numPr>
          <w:ilvl w:val="0"/>
          <w:numId w:val="2"/>
        </w:numPr>
        <w:spacing w:before="40" w:after="40"/>
      </w:pPr>
      <w:r>
        <w:rPr>
          <w:rFonts w:ascii="Arial" w:cs="Arial" w:eastAsia="Arial" w:hAnsi="Arial"/>
          <w:color w:val="141C14"/>
          <w:sz w:val="20"/>
          <w:szCs w:val="20"/>
        </w:rPr>
        <w:t xml:space="preserve">Evaluate AI tools for classroom-appropriateness using a structured decision framework (the HEART framework)</w:t>
      </w:r>
    </w:p>
    <w:p>
      <w:pPr>
        <w:pStyle w:val="ListParagraph"/>
        <w:numPr>
          <w:ilvl w:val="0"/>
          <w:numId w:val="2"/>
        </w:numPr>
        <w:spacing w:before="40" w:after="40"/>
      </w:pPr>
      <w:r>
        <w:rPr>
          <w:rFonts w:ascii="Arial" w:cs="Arial" w:eastAsia="Arial" w:hAnsi="Arial"/>
          <w:color w:val="141C14"/>
          <w:sz w:val="20"/>
          <w:szCs w:val="20"/>
        </w:rPr>
        <w:t xml:space="preserve">Identify and mitigate risks related to student data privacy, bias, and academic integrity when using AI</w:t>
      </w:r>
    </w:p>
    <w:p>
      <w:pPr>
        <w:pStyle w:val="ListParagraph"/>
        <w:numPr>
          <w:ilvl w:val="0"/>
          <w:numId w:val="2"/>
        </w:numPr>
        <w:spacing w:before="40" w:after="40"/>
      </w:pPr>
      <w:r>
        <w:rPr>
          <w:rFonts w:ascii="Arial" w:cs="Arial" w:eastAsia="Arial" w:hAnsi="Arial"/>
          <w:color w:val="141C14"/>
          <w:sz w:val="20"/>
          <w:szCs w:val="20"/>
        </w:rPr>
        <w:t xml:space="preserve">Apply a “pedagogy-first” lens to AI integration, selecting tools that serve learning goals rather than replacing them</w:t>
      </w:r>
    </w:p>
    <w:p>
      <w:pPr>
        <w:pStyle w:val="ListParagraph"/>
        <w:numPr>
          <w:ilvl w:val="0"/>
          <w:numId w:val="2"/>
        </w:numPr>
        <w:spacing w:before="40" w:after="40"/>
      </w:pPr>
      <w:r>
        <w:rPr>
          <w:rFonts w:ascii="Arial" w:cs="Arial" w:eastAsia="Arial" w:hAnsi="Arial"/>
          <w:color w:val="141C14"/>
          <w:sz w:val="20"/>
          <w:szCs w:val="20"/>
        </w:rPr>
        <w:t xml:space="preserve">Design at least one AI-resilient lesson or assignment that requires genuine student thinking</w:t>
      </w:r>
    </w:p>
    <w:p>
      <w:pPr>
        <w:pStyle w:val="ListParagraph"/>
        <w:numPr>
          <w:ilvl w:val="0"/>
          <w:numId w:val="2"/>
        </w:numPr>
        <w:spacing w:before="40" w:after="40"/>
      </w:pPr>
      <w:r>
        <w:rPr>
          <w:rFonts w:ascii="Arial" w:cs="Arial" w:eastAsia="Arial" w:hAnsi="Arial"/>
          <w:color w:val="141C14"/>
          <w:sz w:val="20"/>
          <w:szCs w:val="20"/>
        </w:rPr>
        <w:t xml:space="preserve">Use AI as a thinking partner for their own professional practice (lesson planning, differentiation, feedback)</w:t>
      </w:r>
    </w:p>
    <w:p>
      <w:pPr>
        <w:spacing w:before="60" w:after="60"/>
      </w:pPr>
      <w:r>
        <w:t xml:space="preserve"/>
      </w:r>
    </w:p>
    <w:p>
      <w:pPr>
        <w:pStyle w:val="Heading2"/>
        <w:spacing w:before="240" w:after="80"/>
      </w:pPr>
      <w:r>
        <w:rPr>
          <w:rFonts w:ascii="Arial" w:cs="Arial" w:eastAsia="Arial" w:hAnsi="Arial"/>
          <w:b/>
          <w:bCs/>
          <w:color w:val="9B8EC4"/>
          <w:sz w:val="24"/>
          <w:szCs w:val="24"/>
        </w:rPr>
        <w:t xml:space="preserve">Assessment Strategy</w:t>
      </w:r>
    </w:p>
    <w:p>
      <w:pPr>
        <w:spacing w:before="60" w:after="60"/>
      </w:pPr>
      <w:r>
        <w:rPr>
          <w:rFonts w:ascii="Arial" w:cs="Arial" w:eastAsia="Arial" w:hAnsi="Arial"/>
          <w:color w:val="141C14"/>
          <w:sz w:val="20"/>
          <w:szCs w:val="20"/>
        </w:rPr>
        <w:t xml:space="preserve">This course uses portfolio-based assessment aligned with the Kirkpatrick Model:</w:t>
      </w:r>
    </w:p>
    <w:p>
      <w:pPr>
        <w:pStyle w:val="ListParagraph"/>
        <w:numPr>
          <w:ilvl w:val="0"/>
          <w:numId w:val="2"/>
        </w:numPr>
        <w:spacing w:before="40" w:after="40"/>
      </w:pPr>
      <w:r>
        <w:rPr>
          <w:rFonts w:ascii="Arial" w:cs="Arial" w:eastAsia="Arial" w:hAnsi="Arial"/>
          <w:color w:val="141C14"/>
          <w:sz w:val="20"/>
          <w:szCs w:val="20"/>
        </w:rPr>
        <w:t xml:space="preserve">Level 1 (Reaction): Post-lesson reflection prompts, end-of-module surveys</w:t>
      </w:r>
    </w:p>
    <w:p>
      <w:pPr>
        <w:pStyle w:val="ListParagraph"/>
        <w:numPr>
          <w:ilvl w:val="0"/>
          <w:numId w:val="2"/>
        </w:numPr>
        <w:spacing w:before="40" w:after="40"/>
      </w:pPr>
      <w:r>
        <w:rPr>
          <w:rFonts w:ascii="Arial" w:cs="Arial" w:eastAsia="Arial" w:hAnsi="Arial"/>
          <w:color w:val="141C14"/>
          <w:sz w:val="20"/>
          <w:szCs w:val="20"/>
        </w:rPr>
        <w:t xml:space="preserve">Level 2 (Learning): Short knowledge checks, scenario-based quizzes</w:t>
      </w:r>
    </w:p>
    <w:p>
      <w:pPr>
        <w:pStyle w:val="ListParagraph"/>
        <w:numPr>
          <w:ilvl w:val="0"/>
          <w:numId w:val="2"/>
        </w:numPr>
        <w:spacing w:before="40" w:after="40"/>
      </w:pPr>
      <w:r>
        <w:rPr>
          <w:rFonts w:ascii="Arial" w:cs="Arial" w:eastAsia="Arial" w:hAnsi="Arial"/>
          <w:color w:val="141C14"/>
          <w:sz w:val="20"/>
          <w:szCs w:val="20"/>
        </w:rPr>
        <w:t xml:space="preserve">Level 3 (Behavior): Final portfolio — one redesigned lesson with AI-resilient elements documented</w:t>
      </w:r>
    </w:p>
    <w:p>
      <w:pPr>
        <w:pStyle w:val="ListParagraph"/>
        <w:numPr>
          <w:ilvl w:val="0"/>
          <w:numId w:val="2"/>
        </w:numPr>
        <w:spacing w:before="40" w:after="40"/>
      </w:pPr>
      <w:r>
        <w:rPr>
          <w:rFonts w:ascii="Arial" w:cs="Arial" w:eastAsia="Arial" w:hAnsi="Arial"/>
          <w:color w:val="141C14"/>
          <w:sz w:val="20"/>
          <w:szCs w:val="20"/>
        </w:rPr>
        <w:t xml:space="preserve">Level 4 (Results): 30-day follow-up survey measuring classroom implementation</w:t>
      </w:r>
    </w:p>
    <w:p>
      <w:pPr>
        <w:spacing w:before="60" w:after="60"/>
      </w:pPr>
      <w:r>
        <w:t xml:space="preserve"/>
      </w:r>
    </w:p>
    <w:p>
      <w:pPr>
        <w:pStyle w:val="Heading2"/>
        <w:spacing w:before="240" w:after="80"/>
      </w:pPr>
      <w:r>
        <w:rPr>
          <w:rFonts w:ascii="Arial" w:cs="Arial" w:eastAsia="Arial" w:hAnsi="Arial"/>
          <w:b/>
          <w:bCs/>
          <w:color w:val="9B8EC4"/>
          <w:sz w:val="24"/>
          <w:szCs w:val="24"/>
        </w:rPr>
        <w:t xml:space="preserve">Pedagogical Frameworks</w:t>
      </w:r>
    </w:p>
    <w:p>
      <w:pPr>
        <w:pStyle w:val="ListParagraph"/>
        <w:numPr>
          <w:ilvl w:val="0"/>
          <w:numId w:val="2"/>
        </w:numPr>
        <w:spacing w:before="40" w:after="40"/>
      </w:pPr>
      <w:r>
        <w:rPr>
          <w:rFonts w:ascii="Arial" w:cs="Arial" w:eastAsia="Arial" w:hAnsi="Arial"/>
          <w:color w:val="141C14"/>
          <w:sz w:val="20"/>
          <w:szCs w:val="20"/>
        </w:rPr>
        <w:t xml:space="preserve">Constructivism: Learners build understanding through active engagement and reflection</w:t>
      </w:r>
    </w:p>
    <w:p>
      <w:pPr>
        <w:pStyle w:val="ListParagraph"/>
        <w:numPr>
          <w:ilvl w:val="0"/>
          <w:numId w:val="2"/>
        </w:numPr>
        <w:spacing w:before="40" w:after="40"/>
      </w:pPr>
      <w:r>
        <w:rPr>
          <w:rFonts w:ascii="Arial" w:cs="Arial" w:eastAsia="Arial" w:hAnsi="Arial"/>
          <w:color w:val="141C14"/>
          <w:sz w:val="20"/>
          <w:szCs w:val="20"/>
        </w:rPr>
        <w:t xml:space="preserve">Universal Design for Learning (UDL): Multiple means of engagement, representation, and expression throughout</w:t>
      </w:r>
    </w:p>
    <w:p>
      <w:pPr>
        <w:pStyle w:val="ListParagraph"/>
        <w:numPr>
          <w:ilvl w:val="0"/>
          <w:numId w:val="2"/>
        </w:numPr>
        <w:spacing w:before="40" w:after="40"/>
      </w:pPr>
      <w:r>
        <w:rPr>
          <w:rFonts w:ascii="Arial" w:cs="Arial" w:eastAsia="Arial" w:hAnsi="Arial"/>
          <w:color w:val="141C14"/>
          <w:sz w:val="20"/>
          <w:szCs w:val="20"/>
        </w:rPr>
        <w:t xml:space="preserve">TPACK: Technology integration anchored in content and pedagogical knowledge</w:t>
      </w:r>
    </w:p>
    <w:p>
      <w:pPr>
        <w:pStyle w:val="ListParagraph"/>
        <w:numPr>
          <w:ilvl w:val="0"/>
          <w:numId w:val="2"/>
        </w:numPr>
        <w:spacing w:before="40" w:after="40"/>
      </w:pPr>
      <w:r>
        <w:rPr>
          <w:rFonts w:ascii="Arial" w:cs="Arial" w:eastAsia="Arial" w:hAnsi="Arial"/>
          <w:color w:val="141C14"/>
          <w:sz w:val="20"/>
          <w:szCs w:val="20"/>
        </w:rPr>
        <w:t xml:space="preserve">Critical Pedagogy: Interrogating power, bias, and equity implications of AI in education</w:t>
      </w:r>
    </w:p>
    <w:p>
      <w:pPr>
        <w:pStyle w:val="ListParagraph"/>
        <w:numPr>
          <w:ilvl w:val="0"/>
          <w:numId w:val="2"/>
        </w:numPr>
        <w:spacing w:before="40" w:after="40"/>
      </w:pPr>
      <w:r>
        <w:rPr>
          <w:rFonts w:ascii="Arial" w:cs="Arial" w:eastAsia="Arial" w:hAnsi="Arial"/>
          <w:color w:val="141C14"/>
          <w:sz w:val="20"/>
          <w:szCs w:val="20"/>
        </w:rPr>
        <w:t xml:space="preserve">Bloom’s Taxonomy: Learning objectives span all six levels; assessments match stated levels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3D6B4F" w:val="clear"/>
            <w:tcMar>
              <w:top w:type="dxa" w:w="160"/>
              <w:left w:type="dxa" w:w="200"/>
              <w:bottom w:type="dxa" w:w="160"/>
              <w:right w:type="dxa" w:w="200"/>
            </w:tcMar>
          </w:tcPr>
          <w:p>
            <w:pPr>
              <w:spacing w:before="0" w:after="40"/>
            </w:pPr>
            <w:r>
              <w:rPr>
                <w:rFonts w:ascii="Arial" w:cs="Arial" w:eastAsia="Arial" w:hAnsi="Arial"/>
                <w:b/>
                <w:bCs/>
                <w:color w:val="B8CDB8"/>
                <w:sz w:val="16"/>
                <w:szCs w:val="16"/>
              </w:rPr>
              <w:t xml:space="preserve">MODULE 01</w:t>
            </w:r>
          </w:p>
          <w:p>
            <w:pPr>
              <w:spacing w:before="0" w:after="0"/>
            </w:pPr>
            <w:r>
              <w:rPr>
                <w:rFonts w:ascii="Arial" w:cs="Arial" w:eastAsia="Arial" w:hAnsi="Arial"/>
                <w:b/>
                <w:bCs/>
                <w:color w:val="FFFFFF"/>
                <w:sz w:val="26"/>
                <w:szCs w:val="26"/>
              </w:rPr>
              <w:t xml:space="preserve">AI Tool Literacy</w:t>
            </w:r>
          </w:p>
        </w:tc>
        <w:tc>
          <w:tcPr>
            <w:tcW w:type="dxa" w:w="2860"/>
            <w:tcBorders>
              <w:top w:val="none" w:color="FFFFFF" w:sz="0"/>
              <w:left w:val="none" w:color="FFFFFF" w:sz="0"/>
              <w:bottom w:val="none" w:color="FFFFFF" w:sz="0"/>
              <w:right w:val="none" w:color="FFFFFF" w:sz="0"/>
            </w:tcBorders>
            <w:shd w:fill="E4EDE3" w:val="clear"/>
            <w:tcMar>
              <w:top w:type="dxa" w:w="160"/>
              <w:left w:type="dxa" w:w="200"/>
              <w:bottom w:type="dxa" w:w="160"/>
              <w:right w:type="dxa" w:w="200"/>
            </w:tcMar>
            <w:vAlign w:val="center"/>
          </w:tcPr>
          <w:p>
            <w:pPr>
              <w:spacing w:before="0" w:after="40"/>
            </w:pPr>
            <w:r>
              <w:rPr>
                <w:rFonts w:ascii="Arial" w:cs="Arial" w:eastAsia="Arial" w:hAnsi="Arial"/>
                <w:b/>
                <w:bCs/>
                <w:color w:val="3D6B4F"/>
                <w:sz w:val="20"/>
                <w:szCs w:val="20"/>
              </w:rPr>
              <w:t xml:space="preserve">~90 minutes</w:t>
            </w:r>
          </w:p>
          <w:p>
            <w:pPr>
              <w:spacing w:before="0" w:after="0"/>
            </w:pPr>
            <w:r>
              <w:rPr>
                <w:rFonts w:ascii="Arial" w:cs="Arial" w:eastAsia="Arial" w:hAnsi="Arial"/>
                <w:color w:val="9B8EC4"/>
                <w:sz w:val="18"/>
                <w:szCs w:val="18"/>
              </w:rPr>
              <w:t xml:space="preserve">0.15 CEU</w:t>
            </w:r>
          </w:p>
        </w:tc>
      </w:tr>
    </w:tbl>
    <w:p>
      <w:pPr>
        <w:spacing w:before="60" w:after="60"/>
      </w:pPr>
      <w:r>
        <w:t xml:space="preserve"/>
      </w:r>
    </w:p>
    <w:p>
      <w:pPr>
        <w:spacing w:before="60" w:after="60"/>
      </w:pPr>
      <w:r>
        <w:rPr>
          <w:rFonts w:ascii="Arial" w:cs="Arial" w:eastAsia="Arial" w:hAnsi="Arial"/>
          <w:color w:val="141C14"/>
          <w:sz w:val="20"/>
          <w:szCs w:val="20"/>
        </w:rPr>
        <w:t xml:space="preserve">Educators cannot make good decisions about AI tools they do not understand. This module builds foundational, jargon-free literacy — not to make teachers into technologists, but to give them enough conceptual grounding to evaluate, question, and choose wisely.</w:t>
      </w:r>
    </w:p>
    <w:p>
      <w:pPr>
        <w:spacing w:before="60" w:after="60"/>
      </w:pPr>
      <w:r>
        <w:t xml:space="preserve"/>
      </w:r>
    </w:p>
    <w:p>
      <w:pPr>
        <w:pStyle w:val="Heading2"/>
        <w:spacing w:before="240" w:after="80"/>
      </w:pPr>
      <w:r>
        <w:rPr>
          <w:rFonts w:ascii="Arial" w:cs="Arial" w:eastAsia="Arial" w:hAnsi="Arial"/>
          <w:b/>
          <w:bCs/>
          <w:color w:val="9B8EC4"/>
          <w:sz w:val="24"/>
          <w:szCs w:val="24"/>
        </w:rPr>
        <w:t xml:space="preserve">Module Learning Objectives</w:t>
      </w:r>
    </w:p>
    <w:p>
      <w:pPr>
        <w:spacing w:before="60" w:after="60"/>
      </w:pPr>
      <w:r>
        <w:rPr>
          <w:rFonts w:ascii="Arial" w:cs="Arial" w:eastAsia="Arial" w:hAnsi="Arial"/>
          <w:color w:val="141C14"/>
          <w:sz w:val="20"/>
          <w:szCs w:val="20"/>
        </w:rPr>
        <w:t xml:space="preserve">By the end of Module 01, educators will be able to:</w:t>
      </w:r>
    </w:p>
    <w:p>
      <w:pPr>
        <w:pStyle w:val="ListParagraph"/>
        <w:numPr>
          <w:ilvl w:val="0"/>
          <w:numId w:val="2"/>
        </w:numPr>
        <w:spacing w:before="40" w:after="40"/>
      </w:pPr>
      <w:r>
        <w:rPr>
          <w:rFonts w:ascii="Arial" w:cs="Arial" w:eastAsia="Arial" w:hAnsi="Arial"/>
          <w:color w:val="141C14"/>
          <w:sz w:val="20"/>
          <w:szCs w:val="20"/>
        </w:rPr>
        <w:t xml:space="preserve">Explain in plain language what generative AI is and how it produces outputs</w:t>
      </w:r>
    </w:p>
    <w:p>
      <w:pPr>
        <w:pStyle w:val="ListParagraph"/>
        <w:numPr>
          <w:ilvl w:val="0"/>
          <w:numId w:val="2"/>
        </w:numPr>
        <w:spacing w:before="40" w:after="40"/>
      </w:pPr>
      <w:r>
        <w:rPr>
          <w:rFonts w:ascii="Arial" w:cs="Arial" w:eastAsia="Arial" w:hAnsi="Arial"/>
          <w:color w:val="141C14"/>
          <w:sz w:val="20"/>
          <w:szCs w:val="20"/>
        </w:rPr>
        <w:t xml:space="preserve">Distinguish between AI tools appropriate for educator use vs. student use</w:t>
      </w:r>
    </w:p>
    <w:p>
      <w:pPr>
        <w:pStyle w:val="ListParagraph"/>
        <w:numPr>
          <w:ilvl w:val="0"/>
          <w:numId w:val="2"/>
        </w:numPr>
        <w:spacing w:before="40" w:after="40"/>
      </w:pPr>
      <w:r>
        <w:rPr>
          <w:rFonts w:ascii="Arial" w:cs="Arial" w:eastAsia="Arial" w:hAnsi="Arial"/>
          <w:color w:val="141C14"/>
          <w:sz w:val="20"/>
          <w:szCs w:val="20"/>
        </w:rPr>
        <w:t xml:space="preserve">Apply a four-question decision framework (see Job Aid) before using any AI tool</w:t>
      </w:r>
    </w:p>
    <w:p>
      <w:pPr>
        <w:pStyle w:val="ListParagraph"/>
        <w:numPr>
          <w:ilvl w:val="0"/>
          <w:numId w:val="2"/>
        </w:numPr>
        <w:spacing w:before="40" w:after="40"/>
      </w:pPr>
      <w:r>
        <w:rPr>
          <w:rFonts w:ascii="Arial" w:cs="Arial" w:eastAsia="Arial" w:hAnsi="Arial"/>
          <w:color w:val="141C14"/>
          <w:sz w:val="20"/>
          <w:szCs w:val="20"/>
        </w:rPr>
        <w:t xml:space="preserve">Identify at least three common AI limitations relevant to classroom use</w:t>
      </w:r>
    </w:p>
    <w:p>
      <w:pPr>
        <w:spacing w:before="60" w:after="60"/>
      </w:pPr>
      <w:r>
        <w:t xml:space="preserve"/>
      </w:r>
    </w:p>
    <w:p>
      <w:pPr>
        <w:spacing w:before="180" w:after="60"/>
      </w:pPr>
      <w:r>
        <w:rPr>
          <w:rFonts w:ascii="Arial" w:cs="Arial" w:eastAsia="Arial" w:hAnsi="Arial"/>
          <w:b/>
          <w:bCs/>
          <w:color w:val="3D6B4F"/>
          <w:sz w:val="22"/>
          <w:szCs w:val="22"/>
        </w:rPr>
        <w:t xml:space="preserve">Lesson 1.1 — What Is Generative AI, Actually?</w:t>
      </w:r>
    </w:p>
    <w:p>
      <w:pPr>
        <w:spacing w:before="60" w:after="20"/>
      </w:pPr>
      <w:r>
        <w:rPr>
          <w:rFonts w:ascii="Arial" w:cs="Arial" w:eastAsia="Arial" w:hAnsi="Arial"/>
          <w:b/>
          <w:bCs/>
          <w:color w:val="9B8EC4"/>
          <w:sz w:val="16"/>
          <w:szCs w:val="16"/>
        </w:rPr>
        <w:t xml:space="preserve">DURATION</w:t>
      </w:r>
    </w:p>
    <w:p>
      <w:pPr>
        <w:spacing w:before="60" w:after="60"/>
      </w:pPr>
      <w:r>
        <w:rPr>
          <w:rFonts w:ascii="Arial" w:cs="Arial" w:eastAsia="Arial" w:hAnsi="Arial"/>
          <w:color w:val="141C14"/>
          <w:sz w:val="20"/>
          <w:szCs w:val="20"/>
        </w:rPr>
        <w:t xml:space="preserve">~25 minutes</w:t>
      </w:r>
    </w:p>
    <w:p>
      <w:pPr>
        <w:spacing w:before="60" w:after="20"/>
      </w:pPr>
      <w:r>
        <w:rPr>
          <w:rFonts w:ascii="Arial" w:cs="Arial" w:eastAsia="Arial" w:hAnsi="Arial"/>
          <w:b/>
          <w:bCs/>
          <w:color w:val="9B8EC4"/>
          <w:sz w:val="16"/>
          <w:szCs w:val="16"/>
        </w:rPr>
        <w:t xml:space="preserve">BLOOM’S LEVEL</w:t>
      </w:r>
    </w:p>
    <w:p>
      <w:pPr>
        <w:spacing w:before="60" w:after="60"/>
      </w:pPr>
      <w:r>
        <w:rPr>
          <w:rFonts w:ascii="Arial" w:cs="Arial" w:eastAsia="Arial" w:hAnsi="Arial"/>
          <w:color w:val="141C14"/>
          <w:sz w:val="20"/>
          <w:szCs w:val="20"/>
        </w:rPr>
        <w:t xml:space="preserve">Remember / Understand</w:t>
      </w:r>
    </w:p>
    <w:p>
      <w:pPr>
        <w:spacing w:before="60" w:after="20"/>
      </w:pPr>
      <w:r>
        <w:rPr>
          <w:rFonts w:ascii="Arial" w:cs="Arial" w:eastAsia="Arial" w:hAnsi="Arial"/>
          <w:b/>
          <w:bCs/>
          <w:color w:val="9B8EC4"/>
          <w:sz w:val="16"/>
          <w:szCs w:val="16"/>
        </w:rPr>
        <w:t xml:space="preserve">FORMAT</w:t>
      </w:r>
    </w:p>
    <w:p>
      <w:pPr>
        <w:spacing w:before="60" w:after="60"/>
      </w:pPr>
      <w:r>
        <w:rPr>
          <w:rFonts w:ascii="Arial" w:cs="Arial" w:eastAsia="Arial" w:hAnsi="Arial"/>
          <w:color w:val="141C14"/>
          <w:sz w:val="20"/>
          <w:szCs w:val="20"/>
        </w:rPr>
        <w:t xml:space="preserve">Explainer video (8 min) + interactive vocabulary builder + reflection prompt</w:t>
      </w:r>
    </w:p>
    <w:p>
      <w:pPr>
        <w:spacing w:before="60" w:after="20"/>
      </w:pPr>
      <w:r>
        <w:rPr>
          <w:rFonts w:ascii="Arial" w:cs="Arial" w:eastAsia="Arial" w:hAnsi="Arial"/>
          <w:b/>
          <w:bCs/>
          <w:color w:val="9B8EC4"/>
          <w:sz w:val="16"/>
          <w:szCs w:val="16"/>
        </w:rPr>
        <w:t xml:space="preserve">CONTENT</w:t>
      </w:r>
    </w:p>
    <w:p>
      <w:pPr>
        <w:spacing w:before="60" w:after="60"/>
      </w:pPr>
      <w:r>
        <w:rPr>
          <w:rFonts w:ascii="Arial" w:cs="Arial" w:eastAsia="Arial" w:hAnsi="Arial"/>
          <w:color w:val="141C14"/>
          <w:sz w:val="20"/>
          <w:szCs w:val="20"/>
        </w:rPr>
        <w:t xml:space="preserve">Demystifies how large language models work without requiring technical background. Uses the metaphor of a very well-read autocomplete. Covers: what AI “sees,” how it predicts outputs, what hallucination means and why it happens.</w:t>
      </w:r>
    </w:p>
    <w:p>
      <w:pPr>
        <w:spacing w:before="60" w:after="20"/>
      </w:pPr>
      <w:r>
        <w:rPr>
          <w:rFonts w:ascii="Arial" w:cs="Arial" w:eastAsia="Arial" w:hAnsi="Arial"/>
          <w:b/>
          <w:bCs/>
          <w:color w:val="9B8EC4"/>
          <w:sz w:val="16"/>
          <w:szCs w:val="16"/>
        </w:rPr>
        <w:t xml:space="preserve">KEY CONCEPT</w:t>
      </w:r>
    </w:p>
    <w:p>
      <w:pPr>
        <w:spacing w:before="60" w:after="60"/>
      </w:pPr>
      <w:r>
        <w:rPr>
          <w:rFonts w:ascii="Arial" w:cs="Arial" w:eastAsia="Arial" w:hAnsi="Arial"/>
          <w:color w:val="141C14"/>
          <w:sz w:val="20"/>
          <w:szCs w:val="20"/>
        </w:rPr>
        <w:t xml:space="preserve">AI does not know things — it predicts statistically likely text. This distinction changes everything about how you use it.</w:t>
      </w:r>
    </w:p>
    <w:p>
      <w:pPr>
        <w:spacing w:before="60" w:after="60"/>
      </w:pPr>
      <w:r>
        <w:t xml:space="preserve"/>
      </w:r>
    </w:p>
    <w:p>
      <w:pPr>
        <w:spacing w:before="180" w:after="60"/>
      </w:pPr>
      <w:r>
        <w:rPr>
          <w:rFonts w:ascii="Arial" w:cs="Arial" w:eastAsia="Arial" w:hAnsi="Arial"/>
          <w:b/>
          <w:bCs/>
          <w:color w:val="3D6B4F"/>
          <w:sz w:val="22"/>
          <w:szCs w:val="22"/>
        </w:rPr>
        <w:t xml:space="preserve">Lesson 1.2 — Navigating the AI Tool Landscape</w:t>
      </w:r>
    </w:p>
    <w:p>
      <w:pPr>
        <w:spacing w:before="60" w:after="20"/>
      </w:pPr>
      <w:r>
        <w:rPr>
          <w:rFonts w:ascii="Arial" w:cs="Arial" w:eastAsia="Arial" w:hAnsi="Arial"/>
          <w:b/>
          <w:bCs/>
          <w:color w:val="9B8EC4"/>
          <w:sz w:val="16"/>
          <w:szCs w:val="16"/>
        </w:rPr>
        <w:t xml:space="preserve">DURATION</w:t>
      </w:r>
    </w:p>
    <w:p>
      <w:pPr>
        <w:spacing w:before="60" w:after="60"/>
      </w:pPr>
      <w:r>
        <w:rPr>
          <w:rFonts w:ascii="Arial" w:cs="Arial" w:eastAsia="Arial" w:hAnsi="Arial"/>
          <w:color w:val="141C14"/>
          <w:sz w:val="20"/>
          <w:szCs w:val="20"/>
        </w:rPr>
        <w:t xml:space="preserve">~30 minutes</w:t>
      </w:r>
    </w:p>
    <w:p>
      <w:pPr>
        <w:spacing w:before="60" w:after="20"/>
      </w:pPr>
      <w:r>
        <w:rPr>
          <w:rFonts w:ascii="Arial" w:cs="Arial" w:eastAsia="Arial" w:hAnsi="Arial"/>
          <w:b/>
          <w:bCs/>
          <w:color w:val="9B8EC4"/>
          <w:sz w:val="16"/>
          <w:szCs w:val="16"/>
        </w:rPr>
        <w:t xml:space="preserve">BLOOM’S LEVEL</w:t>
      </w:r>
    </w:p>
    <w:p>
      <w:pPr>
        <w:spacing w:before="60" w:after="60"/>
      </w:pPr>
      <w:r>
        <w:rPr>
          <w:rFonts w:ascii="Arial" w:cs="Arial" w:eastAsia="Arial" w:hAnsi="Arial"/>
          <w:color w:val="141C14"/>
          <w:sz w:val="20"/>
          <w:szCs w:val="20"/>
        </w:rPr>
        <w:t xml:space="preserve">Understand / Analyze</w:t>
      </w:r>
    </w:p>
    <w:p>
      <w:pPr>
        <w:spacing w:before="60" w:after="20"/>
      </w:pPr>
      <w:r>
        <w:rPr>
          <w:rFonts w:ascii="Arial" w:cs="Arial" w:eastAsia="Arial" w:hAnsi="Arial"/>
          <w:b/>
          <w:bCs/>
          <w:color w:val="9B8EC4"/>
          <w:sz w:val="16"/>
          <w:szCs w:val="16"/>
        </w:rPr>
        <w:t xml:space="preserve">FORMAT</w:t>
      </w:r>
    </w:p>
    <w:p>
      <w:pPr>
        <w:spacing w:before="60" w:after="60"/>
      </w:pPr>
      <w:r>
        <w:rPr>
          <w:rFonts w:ascii="Arial" w:cs="Arial" w:eastAsia="Arial" w:hAnsi="Arial"/>
          <w:color w:val="141C14"/>
          <w:sz w:val="20"/>
          <w:szCs w:val="20"/>
        </w:rPr>
        <w:t xml:space="preserve">Comparative tool overview + categorization activity + discussion board</w:t>
      </w:r>
    </w:p>
    <w:p>
      <w:pPr>
        <w:spacing w:before="60" w:after="20"/>
      </w:pPr>
      <w:r>
        <w:rPr>
          <w:rFonts w:ascii="Arial" w:cs="Arial" w:eastAsia="Arial" w:hAnsi="Arial"/>
          <w:b/>
          <w:bCs/>
          <w:color w:val="9B8EC4"/>
          <w:sz w:val="16"/>
          <w:szCs w:val="16"/>
        </w:rPr>
        <w:t xml:space="preserve">CONTENT</w:t>
      </w:r>
    </w:p>
    <w:p>
      <w:pPr>
        <w:spacing w:before="60" w:after="60"/>
      </w:pPr>
      <w:r>
        <w:rPr>
          <w:rFonts w:ascii="Arial" w:cs="Arial" w:eastAsia="Arial" w:hAnsi="Arial"/>
          <w:color w:val="141C14"/>
          <w:sz w:val="20"/>
          <w:szCs w:val="20"/>
        </w:rPr>
        <w:t xml:space="preserve">Surveys the current landscape: general tools (ChatGPT, Claude, Gemini, Copilot), education-specific tools (Magic School AI, Curipod, Diffit), and red-flag categories (tools with unclear data policies or student-facing tools without FERPA compliance). Learners categorize a set of tools using provided criteria.</w:t>
      </w:r>
    </w:p>
    <w:p>
      <w:pPr>
        <w:spacing w:before="60" w:after="20"/>
      </w:pPr>
      <w:r>
        <w:rPr>
          <w:rFonts w:ascii="Arial" w:cs="Arial" w:eastAsia="Arial" w:hAnsi="Arial"/>
          <w:b/>
          <w:bCs/>
          <w:color w:val="9B8EC4"/>
          <w:sz w:val="16"/>
          <w:szCs w:val="16"/>
        </w:rPr>
        <w:t xml:space="preserve">ASSESSMENT</w:t>
      </w:r>
    </w:p>
    <w:p>
      <w:pPr>
        <w:spacing w:before="60" w:after="60"/>
      </w:pPr>
      <w:r>
        <w:rPr>
          <w:rFonts w:ascii="Arial" w:cs="Arial" w:eastAsia="Arial" w:hAnsi="Arial"/>
          <w:color w:val="141C14"/>
          <w:sz w:val="20"/>
          <w:szCs w:val="20"/>
        </w:rPr>
        <w:t xml:space="preserve">Scenario quiz: given a description of a task and a set of tool options, select the most appropriate tool and explain your reasoning.</w:t>
      </w:r>
    </w:p>
    <w:p>
      <w:pPr>
        <w:spacing w:before="60" w:after="60"/>
      </w:pPr>
      <w:r>
        <w:t xml:space="preserve"/>
      </w:r>
    </w:p>
    <w:p>
      <w:pPr>
        <w:spacing w:before="180" w:after="60"/>
      </w:pPr>
      <w:r>
        <w:rPr>
          <w:rFonts w:ascii="Arial" w:cs="Arial" w:eastAsia="Arial" w:hAnsi="Arial"/>
          <w:b/>
          <w:bCs/>
          <w:color w:val="3D6B4F"/>
          <w:sz w:val="22"/>
          <w:szCs w:val="22"/>
        </w:rPr>
        <w:t xml:space="preserve">Lesson 1.3 — The Decision Framework: Should I Use AI for This?</w:t>
      </w:r>
    </w:p>
    <w:p>
      <w:pPr>
        <w:spacing w:before="60" w:after="20"/>
      </w:pPr>
      <w:r>
        <w:rPr>
          <w:rFonts w:ascii="Arial" w:cs="Arial" w:eastAsia="Arial" w:hAnsi="Arial"/>
          <w:b/>
          <w:bCs/>
          <w:color w:val="9B8EC4"/>
          <w:sz w:val="16"/>
          <w:szCs w:val="16"/>
        </w:rPr>
        <w:t xml:space="preserve">DURATION</w:t>
      </w:r>
    </w:p>
    <w:p>
      <w:pPr>
        <w:spacing w:before="60" w:after="60"/>
      </w:pPr>
      <w:r>
        <w:rPr>
          <w:rFonts w:ascii="Arial" w:cs="Arial" w:eastAsia="Arial" w:hAnsi="Arial"/>
          <w:color w:val="141C14"/>
          <w:sz w:val="20"/>
          <w:szCs w:val="20"/>
        </w:rPr>
        <w:t xml:space="preserve">~35 minutes</w:t>
      </w:r>
    </w:p>
    <w:p>
      <w:pPr>
        <w:spacing w:before="60" w:after="20"/>
      </w:pPr>
      <w:r>
        <w:rPr>
          <w:rFonts w:ascii="Arial" w:cs="Arial" w:eastAsia="Arial" w:hAnsi="Arial"/>
          <w:b/>
          <w:bCs/>
          <w:color w:val="9B8EC4"/>
          <w:sz w:val="16"/>
          <w:szCs w:val="16"/>
        </w:rPr>
        <w:t xml:space="preserve">BLOOM’S LEVEL</w:t>
      </w:r>
    </w:p>
    <w:p>
      <w:pPr>
        <w:spacing w:before="60" w:after="60"/>
      </w:pPr>
      <w:r>
        <w:rPr>
          <w:rFonts w:ascii="Arial" w:cs="Arial" w:eastAsia="Arial" w:hAnsi="Arial"/>
          <w:color w:val="141C14"/>
          <w:sz w:val="20"/>
          <w:szCs w:val="20"/>
        </w:rPr>
        <w:t xml:space="preserve">Apply</w:t>
      </w:r>
    </w:p>
    <w:p>
      <w:pPr>
        <w:spacing w:before="60" w:after="20"/>
      </w:pPr>
      <w:r>
        <w:rPr>
          <w:rFonts w:ascii="Arial" w:cs="Arial" w:eastAsia="Arial" w:hAnsi="Arial"/>
          <w:b/>
          <w:bCs/>
          <w:color w:val="9B8EC4"/>
          <w:sz w:val="16"/>
          <w:szCs w:val="16"/>
        </w:rPr>
        <w:t xml:space="preserve">FORMAT</w:t>
      </w:r>
    </w:p>
    <w:p>
      <w:pPr>
        <w:spacing w:before="60" w:after="60"/>
      </w:pPr>
      <w:r>
        <w:rPr>
          <w:rFonts w:ascii="Arial" w:cs="Arial" w:eastAsia="Arial" w:hAnsi="Arial"/>
          <w:color w:val="141C14"/>
          <w:sz w:val="20"/>
          <w:szCs w:val="20"/>
        </w:rPr>
        <w:t xml:space="preserve">Walkthrough of Job Aid + four real-world scenarios + portfolio entry</w:t>
      </w:r>
    </w:p>
    <w:p>
      <w:pPr>
        <w:spacing w:before="60" w:after="20"/>
      </w:pPr>
      <w:r>
        <w:rPr>
          <w:rFonts w:ascii="Arial" w:cs="Arial" w:eastAsia="Arial" w:hAnsi="Arial"/>
          <w:b/>
          <w:bCs/>
          <w:color w:val="9B8EC4"/>
          <w:sz w:val="16"/>
          <w:szCs w:val="16"/>
        </w:rPr>
        <w:t xml:space="preserve">CONTENT</w:t>
      </w:r>
    </w:p>
    <w:p>
      <w:pPr>
        <w:spacing w:before="60" w:after="60"/>
      </w:pPr>
      <w:r>
        <w:rPr>
          <w:rFonts w:ascii="Arial" w:cs="Arial" w:eastAsia="Arial" w:hAnsi="Arial"/>
          <w:color w:val="141C14"/>
          <w:sz w:val="20"/>
          <w:szCs w:val="20"/>
        </w:rPr>
        <w:t xml:space="preserve">Introduces the “Should I Use AI for This?” decision guide (companion Job Aid). Educators work through four scenarios representing common use cases: lesson planning, feedback generation, quiz creation, and student support. Each scenario requires a documented decision and rationale.</w:t>
      </w:r>
    </w:p>
    <w:p>
      <w:pPr>
        <w:spacing w:before="60" w:after="20"/>
      </w:pPr>
      <w:r>
        <w:rPr>
          <w:rFonts w:ascii="Arial" w:cs="Arial" w:eastAsia="Arial" w:hAnsi="Arial"/>
          <w:b/>
          <w:bCs/>
          <w:color w:val="9B8EC4"/>
          <w:sz w:val="16"/>
          <w:szCs w:val="16"/>
        </w:rPr>
        <w:t xml:space="preserve">PORTFOLIO ENTRY</w:t>
      </w:r>
    </w:p>
    <w:p>
      <w:pPr>
        <w:spacing w:before="60" w:after="60"/>
      </w:pPr>
      <w:r>
        <w:rPr>
          <w:rFonts w:ascii="Arial" w:cs="Arial" w:eastAsia="Arial" w:hAnsi="Arial"/>
          <w:color w:val="141C14"/>
          <w:sz w:val="20"/>
          <w:szCs w:val="20"/>
        </w:rPr>
        <w:t xml:space="preserve">Learners submit a completed decision guide for one real task from their upcoming teaching week.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3D6B4F" w:val="clear"/>
            <w:tcMar>
              <w:top w:type="dxa" w:w="160"/>
              <w:left w:type="dxa" w:w="200"/>
              <w:bottom w:type="dxa" w:w="160"/>
              <w:right w:type="dxa" w:w="200"/>
            </w:tcMar>
          </w:tcPr>
          <w:p>
            <w:pPr>
              <w:spacing w:before="0" w:after="40"/>
            </w:pPr>
            <w:r>
              <w:rPr>
                <w:rFonts w:ascii="Arial" w:cs="Arial" w:eastAsia="Arial" w:hAnsi="Arial"/>
                <w:b/>
                <w:bCs/>
                <w:color w:val="B8CDB8"/>
                <w:sz w:val="16"/>
                <w:szCs w:val="16"/>
              </w:rPr>
              <w:t xml:space="preserve">MODULE 02</w:t>
            </w:r>
          </w:p>
          <w:p>
            <w:pPr>
              <w:spacing w:before="0" w:after="0"/>
            </w:pPr>
            <w:r>
              <w:rPr>
                <w:rFonts w:ascii="Arial" w:cs="Arial" w:eastAsia="Arial" w:hAnsi="Arial"/>
                <w:b/>
                <w:bCs/>
                <w:color w:val="FFFFFF"/>
                <w:sz w:val="26"/>
                <w:szCs w:val="26"/>
              </w:rPr>
              <w:t xml:space="preserve">AI Ethics in Education</w:t>
            </w:r>
          </w:p>
        </w:tc>
        <w:tc>
          <w:tcPr>
            <w:tcW w:type="dxa" w:w="2860"/>
            <w:tcBorders>
              <w:top w:val="none" w:color="FFFFFF" w:sz="0"/>
              <w:left w:val="none" w:color="FFFFFF" w:sz="0"/>
              <w:bottom w:val="none" w:color="FFFFFF" w:sz="0"/>
              <w:right w:val="none" w:color="FFFFFF" w:sz="0"/>
            </w:tcBorders>
            <w:shd w:fill="E4EDE3" w:val="clear"/>
            <w:tcMar>
              <w:top w:type="dxa" w:w="160"/>
              <w:left w:type="dxa" w:w="200"/>
              <w:bottom w:type="dxa" w:w="160"/>
              <w:right w:type="dxa" w:w="200"/>
            </w:tcMar>
            <w:vAlign w:val="center"/>
          </w:tcPr>
          <w:p>
            <w:pPr>
              <w:spacing w:before="0" w:after="40"/>
            </w:pPr>
            <w:r>
              <w:rPr>
                <w:rFonts w:ascii="Arial" w:cs="Arial" w:eastAsia="Arial" w:hAnsi="Arial"/>
                <w:b/>
                <w:bCs/>
                <w:color w:val="3D6B4F"/>
                <w:sz w:val="20"/>
                <w:szCs w:val="20"/>
              </w:rPr>
              <w:t xml:space="preserve">~100 minutes</w:t>
            </w:r>
          </w:p>
          <w:p>
            <w:pPr>
              <w:spacing w:before="0" w:after="0"/>
            </w:pPr>
            <w:r>
              <w:rPr>
                <w:rFonts w:ascii="Arial" w:cs="Arial" w:eastAsia="Arial" w:hAnsi="Arial"/>
                <w:color w:val="9B8EC4"/>
                <w:sz w:val="18"/>
                <w:szCs w:val="18"/>
              </w:rPr>
              <w:t xml:space="preserve">0.18 CEU</w:t>
            </w:r>
          </w:p>
        </w:tc>
      </w:tr>
    </w:tbl>
    <w:p>
      <w:pPr>
        <w:spacing w:before="60" w:after="60"/>
      </w:pPr>
      <w:r>
        <w:t xml:space="preserve"/>
      </w:r>
    </w:p>
    <w:p>
      <w:pPr>
        <w:spacing w:before="60" w:after="60"/>
      </w:pPr>
      <w:r>
        <w:rPr>
          <w:rFonts w:ascii="Arial" w:cs="Arial" w:eastAsia="Arial" w:hAnsi="Arial"/>
          <w:color w:val="141C14"/>
          <w:sz w:val="20"/>
          <w:szCs w:val="20"/>
        </w:rPr>
        <w:t xml:space="preserve">AI is not neutral. This module takes educators beyond “is this tool safe?” to ask deeper questions about power, representation, and responsibility. It is the most challenging module by design — discomfort is part of the learning.</w:t>
      </w:r>
    </w:p>
    <w:p>
      <w:pPr>
        <w:spacing w:before="60" w:after="60"/>
      </w:pPr>
      <w:r>
        <w:t xml:space="preserve"/>
      </w:r>
    </w:p>
    <w:p>
      <w:pPr>
        <w:pStyle w:val="Heading2"/>
        <w:spacing w:before="240" w:after="80"/>
      </w:pPr>
      <w:r>
        <w:rPr>
          <w:rFonts w:ascii="Arial" w:cs="Arial" w:eastAsia="Arial" w:hAnsi="Arial"/>
          <w:b/>
          <w:bCs/>
          <w:color w:val="9B8EC4"/>
          <w:sz w:val="24"/>
          <w:szCs w:val="24"/>
        </w:rPr>
        <w:t xml:space="preserve">Module Learning Objectives</w:t>
      </w:r>
    </w:p>
    <w:p>
      <w:pPr>
        <w:spacing w:before="60" w:after="60"/>
      </w:pPr>
      <w:r>
        <w:rPr>
          <w:rFonts w:ascii="Arial" w:cs="Arial" w:eastAsia="Arial" w:hAnsi="Arial"/>
          <w:color w:val="141C14"/>
          <w:sz w:val="20"/>
          <w:szCs w:val="20"/>
        </w:rPr>
        <w:t xml:space="preserve">By the end of Module 02, educators will be able to:</w:t>
      </w:r>
    </w:p>
    <w:p>
      <w:pPr>
        <w:pStyle w:val="ListParagraph"/>
        <w:numPr>
          <w:ilvl w:val="0"/>
          <w:numId w:val="2"/>
        </w:numPr>
        <w:spacing w:before="40" w:after="40"/>
      </w:pPr>
      <w:r>
        <w:rPr>
          <w:rFonts w:ascii="Arial" w:cs="Arial" w:eastAsia="Arial" w:hAnsi="Arial"/>
          <w:color w:val="141C14"/>
          <w:sz w:val="20"/>
          <w:szCs w:val="20"/>
        </w:rPr>
        <w:t xml:space="preserve">Identify at least three ways AI systems can encode or amplify bias</w:t>
      </w:r>
    </w:p>
    <w:p>
      <w:pPr>
        <w:pStyle w:val="ListParagraph"/>
        <w:numPr>
          <w:ilvl w:val="0"/>
          <w:numId w:val="2"/>
        </w:numPr>
        <w:spacing w:before="40" w:after="40"/>
      </w:pPr>
      <w:r>
        <w:rPr>
          <w:rFonts w:ascii="Arial" w:cs="Arial" w:eastAsia="Arial" w:hAnsi="Arial"/>
          <w:color w:val="141C14"/>
          <w:sz w:val="20"/>
          <w:szCs w:val="20"/>
        </w:rPr>
        <w:t xml:space="preserve">Explain FERPA and COPPA requirements as they apply to AI tool use with minors</w:t>
      </w:r>
    </w:p>
    <w:p>
      <w:pPr>
        <w:pStyle w:val="ListParagraph"/>
        <w:numPr>
          <w:ilvl w:val="0"/>
          <w:numId w:val="2"/>
        </w:numPr>
        <w:spacing w:before="40" w:after="40"/>
      </w:pPr>
      <w:r>
        <w:rPr>
          <w:rFonts w:ascii="Arial" w:cs="Arial" w:eastAsia="Arial" w:hAnsi="Arial"/>
          <w:color w:val="141C14"/>
          <w:sz w:val="20"/>
          <w:szCs w:val="20"/>
        </w:rPr>
        <w:t xml:space="preserve">Evaluate a student-facing AI interaction for appropriateness using a structured rubric</w:t>
      </w:r>
    </w:p>
    <w:p>
      <w:pPr>
        <w:pStyle w:val="ListParagraph"/>
        <w:numPr>
          <w:ilvl w:val="0"/>
          <w:numId w:val="2"/>
        </w:numPr>
        <w:spacing w:before="40" w:after="40"/>
      </w:pPr>
      <w:r>
        <w:rPr>
          <w:rFonts w:ascii="Arial" w:cs="Arial" w:eastAsia="Arial" w:hAnsi="Arial"/>
          <w:color w:val="141C14"/>
          <w:sz w:val="20"/>
          <w:szCs w:val="20"/>
        </w:rPr>
        <w:t xml:space="preserve">Articulate a personal position on AI academic integrity in their classroom context</w:t>
      </w:r>
    </w:p>
    <w:p>
      <w:pPr>
        <w:spacing w:before="60" w:after="60"/>
      </w:pPr>
      <w:r>
        <w:t xml:space="preserve"/>
      </w:r>
    </w:p>
    <w:p>
      <w:pPr>
        <w:spacing w:before="180" w:after="60"/>
      </w:pPr>
      <w:r>
        <w:rPr>
          <w:rFonts w:ascii="Arial" w:cs="Arial" w:eastAsia="Arial" w:hAnsi="Arial"/>
          <w:b/>
          <w:bCs/>
          <w:color w:val="3D6B4F"/>
          <w:sz w:val="22"/>
          <w:szCs w:val="22"/>
        </w:rPr>
        <w:t xml:space="preserve">Lesson 2.1 — Bias, Representation, and Algorithmic Justice</w:t>
      </w:r>
    </w:p>
    <w:p>
      <w:pPr>
        <w:spacing w:before="60" w:after="20"/>
      </w:pPr>
      <w:r>
        <w:rPr>
          <w:rFonts w:ascii="Arial" w:cs="Arial" w:eastAsia="Arial" w:hAnsi="Arial"/>
          <w:b/>
          <w:bCs/>
          <w:color w:val="9B8EC4"/>
          <w:sz w:val="16"/>
          <w:szCs w:val="16"/>
        </w:rPr>
        <w:t xml:space="preserve">DURATION</w:t>
      </w:r>
    </w:p>
    <w:p>
      <w:pPr>
        <w:spacing w:before="60" w:after="60"/>
      </w:pPr>
      <w:r>
        <w:rPr>
          <w:rFonts w:ascii="Arial" w:cs="Arial" w:eastAsia="Arial" w:hAnsi="Arial"/>
          <w:color w:val="141C14"/>
          <w:sz w:val="20"/>
          <w:szCs w:val="20"/>
        </w:rPr>
        <w:t xml:space="preserve">~35 minutes</w:t>
      </w:r>
    </w:p>
    <w:p>
      <w:pPr>
        <w:spacing w:before="60" w:after="20"/>
      </w:pPr>
      <w:r>
        <w:rPr>
          <w:rFonts w:ascii="Arial" w:cs="Arial" w:eastAsia="Arial" w:hAnsi="Arial"/>
          <w:b/>
          <w:bCs/>
          <w:color w:val="9B8EC4"/>
          <w:sz w:val="16"/>
          <w:szCs w:val="16"/>
        </w:rPr>
        <w:t xml:space="preserve">BLOOM’S LEVEL</w:t>
      </w:r>
    </w:p>
    <w:p>
      <w:pPr>
        <w:spacing w:before="60" w:after="60"/>
      </w:pPr>
      <w:r>
        <w:rPr>
          <w:rFonts w:ascii="Arial" w:cs="Arial" w:eastAsia="Arial" w:hAnsi="Arial"/>
          <w:color w:val="141C14"/>
          <w:sz w:val="20"/>
          <w:szCs w:val="20"/>
        </w:rPr>
        <w:t xml:space="preserve">Analyze / Evaluate</w:t>
      </w:r>
    </w:p>
    <w:p>
      <w:pPr>
        <w:spacing w:before="60" w:after="20"/>
      </w:pPr>
      <w:r>
        <w:rPr>
          <w:rFonts w:ascii="Arial" w:cs="Arial" w:eastAsia="Arial" w:hAnsi="Arial"/>
          <w:b/>
          <w:bCs/>
          <w:color w:val="9B8EC4"/>
          <w:sz w:val="16"/>
          <w:szCs w:val="16"/>
        </w:rPr>
        <w:t xml:space="preserve">FORMAT</w:t>
      </w:r>
    </w:p>
    <w:p>
      <w:pPr>
        <w:spacing w:before="60" w:after="60"/>
      </w:pPr>
      <w:r>
        <w:rPr>
          <w:rFonts w:ascii="Arial" w:cs="Arial" w:eastAsia="Arial" w:hAnsi="Arial"/>
          <w:color w:val="141C14"/>
          <w:sz w:val="20"/>
          <w:szCs w:val="20"/>
        </w:rPr>
        <w:t xml:space="preserve">Case study analysis + guided discussion + reflection prompt</w:t>
      </w:r>
    </w:p>
    <w:p>
      <w:pPr>
        <w:spacing w:before="60" w:after="20"/>
      </w:pPr>
      <w:r>
        <w:rPr>
          <w:rFonts w:ascii="Arial" w:cs="Arial" w:eastAsia="Arial" w:hAnsi="Arial"/>
          <w:b/>
          <w:bCs/>
          <w:color w:val="9B8EC4"/>
          <w:sz w:val="16"/>
          <w:szCs w:val="16"/>
        </w:rPr>
        <w:t xml:space="preserve">CONTENT</w:t>
      </w:r>
    </w:p>
    <w:p>
      <w:pPr>
        <w:spacing w:before="60" w:after="60"/>
      </w:pPr>
      <w:r>
        <w:rPr>
          <w:rFonts w:ascii="Arial" w:cs="Arial" w:eastAsia="Arial" w:hAnsi="Arial"/>
          <w:color w:val="141C14"/>
          <w:sz w:val="20"/>
          <w:szCs w:val="20"/>
        </w:rPr>
        <w:t xml:space="preserve">Examines documented cases of AI bias in educational and adjacent contexts: biased grading systems, representation gaps in training data, cultural assumptions baked into language models. Uses the framework of Algorithmic Justice. Educators analyze a real AI-generated piece of feedback and identify potential bias vectors.</w:t>
      </w:r>
    </w:p>
    <w:p>
      <w:pPr>
        <w:spacing w:before="60" w:after="20"/>
      </w:pPr>
      <w:r>
        <w:rPr>
          <w:rFonts w:ascii="Arial" w:cs="Arial" w:eastAsia="Arial" w:hAnsi="Arial"/>
          <w:b/>
          <w:bCs/>
          <w:color w:val="9B8EC4"/>
          <w:sz w:val="16"/>
          <w:szCs w:val="16"/>
        </w:rPr>
        <w:t xml:space="preserve">DISCUSSION PROMPT</w:t>
      </w:r>
    </w:p>
    <w:p>
      <w:pPr>
        <w:spacing w:before="60" w:after="60"/>
      </w:pPr>
      <w:r>
        <w:rPr>
          <w:rFonts w:ascii="Arial" w:cs="Arial" w:eastAsia="Arial" w:hAnsi="Arial"/>
          <w:color w:val="141C14"/>
          <w:sz w:val="20"/>
          <w:szCs w:val="20"/>
        </w:rPr>
        <w:t xml:space="preserve">“Describe a student in your classroom whose identity or experience might be misrepresented or underserved by an AI tool. What would you need to verify before using that tool with them?”</w:t>
      </w:r>
    </w:p>
    <w:p>
      <w:pPr>
        <w:spacing w:before="60" w:after="60"/>
      </w:pPr>
      <w:r>
        <w:t xml:space="preserve"/>
      </w:r>
    </w:p>
    <w:p>
      <w:pPr>
        <w:spacing w:before="180" w:after="60"/>
      </w:pPr>
      <w:r>
        <w:rPr>
          <w:rFonts w:ascii="Arial" w:cs="Arial" w:eastAsia="Arial" w:hAnsi="Arial"/>
          <w:b/>
          <w:bCs/>
          <w:color w:val="3D6B4F"/>
          <w:sz w:val="22"/>
          <w:szCs w:val="22"/>
        </w:rPr>
        <w:t xml:space="preserve">Lesson 2.2 — Student Data Privacy: FERPA, COPPA, and Beyond</w:t>
      </w:r>
    </w:p>
    <w:p>
      <w:pPr>
        <w:spacing w:before="60" w:after="20"/>
      </w:pPr>
      <w:r>
        <w:rPr>
          <w:rFonts w:ascii="Arial" w:cs="Arial" w:eastAsia="Arial" w:hAnsi="Arial"/>
          <w:b/>
          <w:bCs/>
          <w:color w:val="9B8EC4"/>
          <w:sz w:val="16"/>
          <w:szCs w:val="16"/>
        </w:rPr>
        <w:t xml:space="preserve">DURATION</w:t>
      </w:r>
    </w:p>
    <w:p>
      <w:pPr>
        <w:spacing w:before="60" w:after="60"/>
      </w:pPr>
      <w:r>
        <w:rPr>
          <w:rFonts w:ascii="Arial" w:cs="Arial" w:eastAsia="Arial" w:hAnsi="Arial"/>
          <w:color w:val="141C14"/>
          <w:sz w:val="20"/>
          <w:szCs w:val="20"/>
        </w:rPr>
        <w:t xml:space="preserve">~30 minutes</w:t>
      </w:r>
    </w:p>
    <w:p>
      <w:pPr>
        <w:spacing w:before="60" w:after="20"/>
      </w:pPr>
      <w:r>
        <w:rPr>
          <w:rFonts w:ascii="Arial" w:cs="Arial" w:eastAsia="Arial" w:hAnsi="Arial"/>
          <w:b/>
          <w:bCs/>
          <w:color w:val="9B8EC4"/>
          <w:sz w:val="16"/>
          <w:szCs w:val="16"/>
        </w:rPr>
        <w:t xml:space="preserve">BLOOM’S LEVEL</w:t>
      </w:r>
    </w:p>
    <w:p>
      <w:pPr>
        <w:spacing w:before="60" w:after="60"/>
      </w:pPr>
      <w:r>
        <w:rPr>
          <w:rFonts w:ascii="Arial" w:cs="Arial" w:eastAsia="Arial" w:hAnsi="Arial"/>
          <w:color w:val="141C14"/>
          <w:sz w:val="20"/>
          <w:szCs w:val="20"/>
        </w:rPr>
        <w:t xml:space="preserve">Understand / Apply</w:t>
      </w:r>
    </w:p>
    <w:p>
      <w:pPr>
        <w:spacing w:before="60" w:after="20"/>
      </w:pPr>
      <w:r>
        <w:rPr>
          <w:rFonts w:ascii="Arial" w:cs="Arial" w:eastAsia="Arial" w:hAnsi="Arial"/>
          <w:b/>
          <w:bCs/>
          <w:color w:val="9B8EC4"/>
          <w:sz w:val="16"/>
          <w:szCs w:val="16"/>
        </w:rPr>
        <w:t xml:space="preserve">FORMAT</w:t>
      </w:r>
    </w:p>
    <w:p>
      <w:pPr>
        <w:spacing w:before="60" w:after="60"/>
      </w:pPr>
      <w:r>
        <w:rPr>
          <w:rFonts w:ascii="Arial" w:cs="Arial" w:eastAsia="Arial" w:hAnsi="Arial"/>
          <w:color w:val="141C14"/>
          <w:sz w:val="20"/>
          <w:szCs w:val="20"/>
        </w:rPr>
        <w:t xml:space="preserve">Explainer + interactive compliance checklist + scenario practice</w:t>
      </w:r>
    </w:p>
    <w:p>
      <w:pPr>
        <w:spacing w:before="60" w:after="20"/>
      </w:pPr>
      <w:r>
        <w:rPr>
          <w:rFonts w:ascii="Arial" w:cs="Arial" w:eastAsia="Arial" w:hAnsi="Arial"/>
          <w:b/>
          <w:bCs/>
          <w:color w:val="9B8EC4"/>
          <w:sz w:val="16"/>
          <w:szCs w:val="16"/>
        </w:rPr>
        <w:t xml:space="preserve">CONTENT</w:t>
      </w:r>
    </w:p>
    <w:p>
      <w:pPr>
        <w:spacing w:before="60" w:after="60"/>
      </w:pPr>
      <w:r>
        <w:rPr>
          <w:rFonts w:ascii="Arial" w:cs="Arial" w:eastAsia="Arial" w:hAnsi="Arial"/>
          <w:color w:val="141C14"/>
          <w:sz w:val="20"/>
          <w:szCs w:val="20"/>
        </w:rPr>
        <w:t xml:space="preserve">Breaks down FERPA (Family Educational Rights and Privacy Act) and COPPA (Children’s Online Privacy Protection Act) in plain language. Covers: what counts as student data, what “model training” means for data privacy, how to read a tool’s privacy policy, and what “district-approved” actually means. Learners practice evaluating two tool privacy policies.</w:t>
      </w:r>
    </w:p>
    <w:p>
      <w:pPr>
        <w:spacing w:before="60" w:after="60"/>
      </w:pPr>
      <w:r>
        <w:t xml:space="preserve"/>
      </w:r>
    </w:p>
    <w:p>
      <w:pPr>
        <w:spacing w:before="180" w:after="60"/>
      </w:pPr>
      <w:r>
        <w:rPr>
          <w:rFonts w:ascii="Arial" w:cs="Arial" w:eastAsia="Arial" w:hAnsi="Arial"/>
          <w:b/>
          <w:bCs/>
          <w:color w:val="3D6B4F"/>
          <w:sz w:val="22"/>
          <w:szCs w:val="22"/>
        </w:rPr>
        <w:t xml:space="preserve">Lesson 2.3 — Academic Integrity in the Age of AI</w:t>
      </w:r>
    </w:p>
    <w:p>
      <w:pPr>
        <w:spacing w:before="60" w:after="20"/>
      </w:pPr>
      <w:r>
        <w:rPr>
          <w:rFonts w:ascii="Arial" w:cs="Arial" w:eastAsia="Arial" w:hAnsi="Arial"/>
          <w:b/>
          <w:bCs/>
          <w:color w:val="9B8EC4"/>
          <w:sz w:val="16"/>
          <w:szCs w:val="16"/>
        </w:rPr>
        <w:t xml:space="preserve">DURATION</w:t>
      </w:r>
    </w:p>
    <w:p>
      <w:pPr>
        <w:spacing w:before="60" w:after="60"/>
      </w:pPr>
      <w:r>
        <w:rPr>
          <w:rFonts w:ascii="Arial" w:cs="Arial" w:eastAsia="Arial" w:hAnsi="Arial"/>
          <w:color w:val="141C14"/>
          <w:sz w:val="20"/>
          <w:szCs w:val="20"/>
        </w:rPr>
        <w:t xml:space="preserve">~35 minutes</w:t>
      </w:r>
    </w:p>
    <w:p>
      <w:pPr>
        <w:spacing w:before="60" w:after="20"/>
      </w:pPr>
      <w:r>
        <w:rPr>
          <w:rFonts w:ascii="Arial" w:cs="Arial" w:eastAsia="Arial" w:hAnsi="Arial"/>
          <w:b/>
          <w:bCs/>
          <w:color w:val="9B8EC4"/>
          <w:sz w:val="16"/>
          <w:szCs w:val="16"/>
        </w:rPr>
        <w:t xml:space="preserve">BLOOM’S LEVEL</w:t>
      </w:r>
    </w:p>
    <w:p>
      <w:pPr>
        <w:spacing w:before="60" w:after="60"/>
      </w:pPr>
      <w:r>
        <w:rPr>
          <w:rFonts w:ascii="Arial" w:cs="Arial" w:eastAsia="Arial" w:hAnsi="Arial"/>
          <w:color w:val="141C14"/>
          <w:sz w:val="20"/>
          <w:szCs w:val="20"/>
        </w:rPr>
        <w:t xml:space="preserve">Evaluate / Create</w:t>
      </w:r>
    </w:p>
    <w:p>
      <w:pPr>
        <w:spacing w:before="60" w:after="20"/>
      </w:pPr>
      <w:r>
        <w:rPr>
          <w:rFonts w:ascii="Arial" w:cs="Arial" w:eastAsia="Arial" w:hAnsi="Arial"/>
          <w:b/>
          <w:bCs/>
          <w:color w:val="9B8EC4"/>
          <w:sz w:val="16"/>
          <w:szCs w:val="16"/>
        </w:rPr>
        <w:t xml:space="preserve">FORMAT</w:t>
      </w:r>
    </w:p>
    <w:p>
      <w:pPr>
        <w:spacing w:before="60" w:after="60"/>
      </w:pPr>
      <w:r>
        <w:rPr>
          <w:rFonts w:ascii="Arial" w:cs="Arial" w:eastAsia="Arial" w:hAnsi="Arial"/>
          <w:color w:val="141C14"/>
          <w:sz w:val="20"/>
          <w:szCs w:val="20"/>
        </w:rPr>
        <w:t xml:space="preserve">Policy analysis + position statement + peer exchange</w:t>
      </w:r>
    </w:p>
    <w:p>
      <w:pPr>
        <w:spacing w:before="60" w:after="20"/>
      </w:pPr>
      <w:r>
        <w:rPr>
          <w:rFonts w:ascii="Arial" w:cs="Arial" w:eastAsia="Arial" w:hAnsi="Arial"/>
          <w:b/>
          <w:bCs/>
          <w:color w:val="9B8EC4"/>
          <w:sz w:val="16"/>
          <w:szCs w:val="16"/>
        </w:rPr>
        <w:t xml:space="preserve">CONTENT</w:t>
      </w:r>
    </w:p>
    <w:p>
      <w:pPr>
        <w:spacing w:before="60" w:after="60"/>
      </w:pPr>
      <w:r>
        <w:rPr>
          <w:rFonts w:ascii="Arial" w:cs="Arial" w:eastAsia="Arial" w:hAnsi="Arial"/>
          <w:color w:val="141C14"/>
          <w:sz w:val="20"/>
          <w:szCs w:val="20"/>
        </w:rPr>
        <w:t xml:space="preserve">Moves beyond “is this cheating?” to “what do we actually value in student work, and does AI threaten it?” Introduces the HEART framework as a design tool for AI-resilient assignments. Educators analyze their school or district AI policy (or the absence of one) and draft a classroom-level position statement on AI use.</w:t>
      </w:r>
    </w:p>
    <w:p>
      <w:pPr>
        <w:spacing w:before="60" w:after="20"/>
      </w:pPr>
      <w:r>
        <w:rPr>
          <w:rFonts w:ascii="Arial" w:cs="Arial" w:eastAsia="Arial" w:hAnsi="Arial"/>
          <w:b/>
          <w:bCs/>
          <w:color w:val="9B8EC4"/>
          <w:sz w:val="16"/>
          <w:szCs w:val="16"/>
        </w:rPr>
        <w:t xml:space="preserve">PORTFOLIO ENTRY</w:t>
      </w:r>
    </w:p>
    <w:p>
      <w:pPr>
        <w:spacing w:before="60" w:after="60"/>
      </w:pPr>
      <w:r>
        <w:rPr>
          <w:rFonts w:ascii="Arial" w:cs="Arial" w:eastAsia="Arial" w:hAnsi="Arial"/>
          <w:color w:val="141C14"/>
          <w:sz w:val="20"/>
          <w:szCs w:val="20"/>
        </w:rPr>
        <w:t xml:space="preserve">Draft a one-paragraph AI use policy for your classroom, written for students and their families.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3D6B4F" w:val="clear"/>
            <w:tcMar>
              <w:top w:type="dxa" w:w="160"/>
              <w:left w:type="dxa" w:w="200"/>
              <w:bottom w:type="dxa" w:w="160"/>
              <w:right w:type="dxa" w:w="200"/>
            </w:tcMar>
          </w:tcPr>
          <w:p>
            <w:pPr>
              <w:spacing w:before="0" w:after="40"/>
            </w:pPr>
            <w:r>
              <w:rPr>
                <w:rFonts w:ascii="Arial" w:cs="Arial" w:eastAsia="Arial" w:hAnsi="Arial"/>
                <w:b/>
                <w:bCs/>
                <w:color w:val="B8CDB8"/>
                <w:sz w:val="16"/>
                <w:szCs w:val="16"/>
              </w:rPr>
              <w:t xml:space="preserve">MODULE 03</w:t>
            </w:r>
          </w:p>
          <w:p>
            <w:pPr>
              <w:spacing w:before="0" w:after="0"/>
            </w:pPr>
            <w:r>
              <w:rPr>
                <w:rFonts w:ascii="Arial" w:cs="Arial" w:eastAsia="Arial" w:hAnsi="Arial"/>
                <w:b/>
                <w:bCs/>
                <w:color w:val="FFFFFF"/>
                <w:sz w:val="26"/>
                <w:szCs w:val="26"/>
              </w:rPr>
              <w:t xml:space="preserve">Pedagogy First</w:t>
            </w:r>
          </w:p>
        </w:tc>
        <w:tc>
          <w:tcPr>
            <w:tcW w:type="dxa" w:w="2860"/>
            <w:tcBorders>
              <w:top w:val="none" w:color="FFFFFF" w:sz="0"/>
              <w:left w:val="none" w:color="FFFFFF" w:sz="0"/>
              <w:bottom w:val="none" w:color="FFFFFF" w:sz="0"/>
              <w:right w:val="none" w:color="FFFFFF" w:sz="0"/>
            </w:tcBorders>
            <w:shd w:fill="E4EDE3" w:val="clear"/>
            <w:tcMar>
              <w:top w:type="dxa" w:w="160"/>
              <w:left w:type="dxa" w:w="200"/>
              <w:bottom w:type="dxa" w:w="160"/>
              <w:right w:type="dxa" w:w="200"/>
            </w:tcMar>
            <w:vAlign w:val="center"/>
          </w:tcPr>
          <w:p>
            <w:pPr>
              <w:spacing w:before="0" w:after="40"/>
            </w:pPr>
            <w:r>
              <w:rPr>
                <w:rFonts w:ascii="Arial" w:cs="Arial" w:eastAsia="Arial" w:hAnsi="Arial"/>
                <w:b/>
                <w:bCs/>
                <w:color w:val="3D6B4F"/>
                <w:sz w:val="20"/>
                <w:szCs w:val="20"/>
              </w:rPr>
              <w:t xml:space="preserve">~110 minutes</w:t>
            </w:r>
          </w:p>
          <w:p>
            <w:pPr>
              <w:spacing w:before="0" w:after="0"/>
            </w:pPr>
            <w:r>
              <w:rPr>
                <w:rFonts w:ascii="Arial" w:cs="Arial" w:eastAsia="Arial" w:hAnsi="Arial"/>
                <w:color w:val="9B8EC4"/>
                <w:sz w:val="18"/>
                <w:szCs w:val="18"/>
              </w:rPr>
              <w:t xml:space="preserve">0.17 CEU</w:t>
            </w:r>
          </w:p>
        </w:tc>
      </w:tr>
    </w:tbl>
    <w:p>
      <w:pPr>
        <w:spacing w:before="60" w:after="60"/>
      </w:pPr>
      <w:r>
        <w:t xml:space="preserve"/>
      </w:r>
    </w:p>
    <w:p>
      <w:pPr>
        <w:spacing w:before="60" w:after="60"/>
      </w:pPr>
      <w:r>
        <w:rPr>
          <w:rFonts w:ascii="Arial" w:cs="Arial" w:eastAsia="Arial" w:hAnsi="Arial"/>
          <w:color w:val="141C14"/>
          <w:sz w:val="20"/>
          <w:szCs w:val="20"/>
        </w:rPr>
        <w:t xml:space="preserve">The final module is where everything comes together. Educators move from understanding and evaluating AI to actively redesigning their practice with it. The emphasis throughout is on AI as a partner to human judgment, not a replacement for it.</w:t>
      </w:r>
    </w:p>
    <w:p>
      <w:pPr>
        <w:spacing w:before="60" w:after="60"/>
      </w:pPr>
      <w:r>
        <w:t xml:space="preserve"/>
      </w:r>
    </w:p>
    <w:p>
      <w:pPr>
        <w:pStyle w:val="Heading2"/>
        <w:spacing w:before="240" w:after="80"/>
      </w:pPr>
      <w:r>
        <w:rPr>
          <w:rFonts w:ascii="Arial" w:cs="Arial" w:eastAsia="Arial" w:hAnsi="Arial"/>
          <w:b/>
          <w:bCs/>
          <w:color w:val="9B8EC4"/>
          <w:sz w:val="24"/>
          <w:szCs w:val="24"/>
        </w:rPr>
        <w:t xml:space="preserve">Module Learning Objectives</w:t>
      </w:r>
    </w:p>
    <w:p>
      <w:pPr>
        <w:spacing w:before="60" w:after="60"/>
      </w:pPr>
      <w:r>
        <w:rPr>
          <w:rFonts w:ascii="Arial" w:cs="Arial" w:eastAsia="Arial" w:hAnsi="Arial"/>
          <w:color w:val="141C14"/>
          <w:sz w:val="20"/>
          <w:szCs w:val="20"/>
        </w:rPr>
        <w:t xml:space="preserve">By the end of Module 03, educators will be able to:</w:t>
      </w:r>
    </w:p>
    <w:p>
      <w:pPr>
        <w:pStyle w:val="ListParagraph"/>
        <w:numPr>
          <w:ilvl w:val="0"/>
          <w:numId w:val="2"/>
        </w:numPr>
        <w:spacing w:before="40" w:after="40"/>
      </w:pPr>
      <w:r>
        <w:rPr>
          <w:rFonts w:ascii="Arial" w:cs="Arial" w:eastAsia="Arial" w:hAnsi="Arial"/>
          <w:color w:val="141C14"/>
          <w:sz w:val="20"/>
          <w:szCs w:val="20"/>
        </w:rPr>
        <w:t xml:space="preserve">Use AI to draft, differentiate, and iterate on instructional materials</w:t>
      </w:r>
    </w:p>
    <w:p>
      <w:pPr>
        <w:pStyle w:val="ListParagraph"/>
        <w:numPr>
          <w:ilvl w:val="0"/>
          <w:numId w:val="2"/>
        </w:numPr>
        <w:spacing w:before="40" w:after="40"/>
      </w:pPr>
      <w:r>
        <w:rPr>
          <w:rFonts w:ascii="Arial" w:cs="Arial" w:eastAsia="Arial" w:hAnsi="Arial"/>
          <w:color w:val="141C14"/>
          <w:sz w:val="20"/>
          <w:szCs w:val="20"/>
        </w:rPr>
        <w:t xml:space="preserve">Design an AI-resilient lesson or assessment using the HEART framework</w:t>
      </w:r>
    </w:p>
    <w:p>
      <w:pPr>
        <w:pStyle w:val="ListParagraph"/>
        <w:numPr>
          <w:ilvl w:val="0"/>
          <w:numId w:val="2"/>
        </w:numPr>
        <w:spacing w:before="40" w:after="40"/>
      </w:pPr>
      <w:r>
        <w:rPr>
          <w:rFonts w:ascii="Arial" w:cs="Arial" w:eastAsia="Arial" w:hAnsi="Arial"/>
          <w:color w:val="141C14"/>
          <w:sz w:val="20"/>
          <w:szCs w:val="20"/>
        </w:rPr>
        <w:t xml:space="preserve">Identify three patterns for using AI as a student thinking partner (not an answer machine)</w:t>
      </w:r>
    </w:p>
    <w:p>
      <w:pPr>
        <w:pStyle w:val="ListParagraph"/>
        <w:numPr>
          <w:ilvl w:val="0"/>
          <w:numId w:val="2"/>
        </w:numPr>
        <w:spacing w:before="40" w:after="40"/>
      </w:pPr>
      <w:r>
        <w:rPr>
          <w:rFonts w:ascii="Arial" w:cs="Arial" w:eastAsia="Arial" w:hAnsi="Arial"/>
          <w:color w:val="141C14"/>
          <w:sz w:val="20"/>
          <w:szCs w:val="20"/>
        </w:rPr>
        <w:t xml:space="preserve">Complete a reflective portfolio entry documenting their AI implementation plan</w:t>
      </w:r>
    </w:p>
    <w:p>
      <w:pPr>
        <w:spacing w:before="60" w:after="60"/>
      </w:pPr>
      <w:r>
        <w:t xml:space="preserve"/>
      </w:r>
    </w:p>
    <w:p>
      <w:pPr>
        <w:spacing w:before="180" w:after="60"/>
      </w:pPr>
      <w:r>
        <w:rPr>
          <w:rFonts w:ascii="Arial" w:cs="Arial" w:eastAsia="Arial" w:hAnsi="Arial"/>
          <w:b/>
          <w:bCs/>
          <w:color w:val="3D6B4F"/>
          <w:sz w:val="22"/>
          <w:szCs w:val="22"/>
        </w:rPr>
        <w:t xml:space="preserve">Lesson 3.1 — AI as a Professional Tool</w:t>
      </w:r>
    </w:p>
    <w:p>
      <w:pPr>
        <w:spacing w:before="60" w:after="20"/>
      </w:pPr>
      <w:r>
        <w:rPr>
          <w:rFonts w:ascii="Arial" w:cs="Arial" w:eastAsia="Arial" w:hAnsi="Arial"/>
          <w:b/>
          <w:bCs/>
          <w:color w:val="9B8EC4"/>
          <w:sz w:val="16"/>
          <w:szCs w:val="16"/>
        </w:rPr>
        <w:t xml:space="preserve">DURATION</w:t>
      </w:r>
    </w:p>
    <w:p>
      <w:pPr>
        <w:spacing w:before="60" w:after="60"/>
      </w:pPr>
      <w:r>
        <w:rPr>
          <w:rFonts w:ascii="Arial" w:cs="Arial" w:eastAsia="Arial" w:hAnsi="Arial"/>
          <w:color w:val="141C14"/>
          <w:sz w:val="20"/>
          <w:szCs w:val="20"/>
        </w:rPr>
        <w:t xml:space="preserve">~35 minutes</w:t>
      </w:r>
    </w:p>
    <w:p>
      <w:pPr>
        <w:spacing w:before="60" w:after="20"/>
      </w:pPr>
      <w:r>
        <w:rPr>
          <w:rFonts w:ascii="Arial" w:cs="Arial" w:eastAsia="Arial" w:hAnsi="Arial"/>
          <w:b/>
          <w:bCs/>
          <w:color w:val="9B8EC4"/>
          <w:sz w:val="16"/>
          <w:szCs w:val="16"/>
        </w:rPr>
        <w:t xml:space="preserve">BLOOM’S LEVEL</w:t>
      </w:r>
    </w:p>
    <w:p>
      <w:pPr>
        <w:spacing w:before="60" w:after="60"/>
      </w:pPr>
      <w:r>
        <w:rPr>
          <w:rFonts w:ascii="Arial" w:cs="Arial" w:eastAsia="Arial" w:hAnsi="Arial"/>
          <w:color w:val="141C14"/>
          <w:sz w:val="20"/>
          <w:szCs w:val="20"/>
        </w:rPr>
        <w:t xml:space="preserve">Apply</w:t>
      </w:r>
    </w:p>
    <w:p>
      <w:pPr>
        <w:spacing w:before="60" w:after="20"/>
      </w:pPr>
      <w:r>
        <w:rPr>
          <w:rFonts w:ascii="Arial" w:cs="Arial" w:eastAsia="Arial" w:hAnsi="Arial"/>
          <w:b/>
          <w:bCs/>
          <w:color w:val="9B8EC4"/>
          <w:sz w:val="16"/>
          <w:szCs w:val="16"/>
        </w:rPr>
        <w:t xml:space="preserve">FORMAT</w:t>
      </w:r>
    </w:p>
    <w:p>
      <w:pPr>
        <w:spacing w:before="60" w:after="60"/>
      </w:pPr>
      <w:r>
        <w:rPr>
          <w:rFonts w:ascii="Arial" w:cs="Arial" w:eastAsia="Arial" w:hAnsi="Arial"/>
          <w:color w:val="141C14"/>
          <w:sz w:val="20"/>
          <w:szCs w:val="20"/>
        </w:rPr>
        <w:t xml:space="preserve">Live-practice module (learner uses AI in real time) + reflection protocol</w:t>
      </w:r>
    </w:p>
    <w:p>
      <w:pPr>
        <w:spacing w:before="60" w:after="20"/>
      </w:pPr>
      <w:r>
        <w:rPr>
          <w:rFonts w:ascii="Arial" w:cs="Arial" w:eastAsia="Arial" w:hAnsi="Arial"/>
          <w:b/>
          <w:bCs/>
          <w:color w:val="9B8EC4"/>
          <w:sz w:val="16"/>
          <w:szCs w:val="16"/>
        </w:rPr>
        <w:t xml:space="preserve">CONTENT</w:t>
      </w:r>
    </w:p>
    <w:p>
      <w:pPr>
        <w:spacing w:before="60" w:after="60"/>
      </w:pPr>
      <w:r>
        <w:rPr>
          <w:rFonts w:ascii="Arial" w:cs="Arial" w:eastAsia="Arial" w:hAnsi="Arial"/>
          <w:color w:val="141C14"/>
          <w:sz w:val="20"/>
          <w:szCs w:val="20"/>
        </w:rPr>
        <w:t xml:space="preserve">Educators choose one of their own upcoming lessons and use an AI tool (their choice, within the vetted list) to: generate a differentiated version for one learner population, draft a set of discussion questions, and create an exit ticket. They then evaluate each output and document what they kept, what they revised, and what they discarded.</w:t>
      </w:r>
    </w:p>
    <w:p>
      <w:pPr>
        <w:spacing w:before="60" w:after="20"/>
      </w:pPr>
      <w:r>
        <w:rPr>
          <w:rFonts w:ascii="Arial" w:cs="Arial" w:eastAsia="Arial" w:hAnsi="Arial"/>
          <w:b/>
          <w:bCs/>
          <w:color w:val="9B8EC4"/>
          <w:sz w:val="16"/>
          <w:szCs w:val="16"/>
        </w:rPr>
        <w:t xml:space="preserve">KEY PRINCIPLE</w:t>
      </w:r>
    </w:p>
    <w:p>
      <w:pPr>
        <w:spacing w:before="60" w:after="60"/>
      </w:pPr>
      <w:r>
        <w:rPr>
          <w:rFonts w:ascii="Arial" w:cs="Arial" w:eastAsia="Arial" w:hAnsi="Arial"/>
          <w:color w:val="141C14"/>
          <w:sz w:val="20"/>
          <w:szCs w:val="20"/>
        </w:rPr>
        <w:t xml:space="preserve">AI produces a first draft. You produce the final product. The gap between them is your professional judgment.</w:t>
      </w:r>
    </w:p>
    <w:p>
      <w:pPr>
        <w:spacing w:before="60" w:after="60"/>
      </w:pPr>
      <w:r>
        <w:t xml:space="preserve"/>
      </w:r>
    </w:p>
    <w:p>
      <w:pPr>
        <w:spacing w:before="180" w:after="60"/>
      </w:pPr>
      <w:r>
        <w:rPr>
          <w:rFonts w:ascii="Arial" w:cs="Arial" w:eastAsia="Arial" w:hAnsi="Arial"/>
          <w:b/>
          <w:bCs/>
          <w:color w:val="3D6B4F"/>
          <w:sz w:val="22"/>
          <w:szCs w:val="22"/>
        </w:rPr>
        <w:t xml:space="preserve">Lesson 3.2 — Designing AI-Resilient Assignments (HEART Framework)</w:t>
      </w:r>
    </w:p>
    <w:p>
      <w:pPr>
        <w:spacing w:before="60" w:after="20"/>
      </w:pPr>
      <w:r>
        <w:rPr>
          <w:rFonts w:ascii="Arial" w:cs="Arial" w:eastAsia="Arial" w:hAnsi="Arial"/>
          <w:b/>
          <w:bCs/>
          <w:color w:val="9B8EC4"/>
          <w:sz w:val="16"/>
          <w:szCs w:val="16"/>
        </w:rPr>
        <w:t xml:space="preserve">DURATION</w:t>
      </w:r>
    </w:p>
    <w:p>
      <w:pPr>
        <w:spacing w:before="60" w:after="60"/>
      </w:pPr>
      <w:r>
        <w:rPr>
          <w:rFonts w:ascii="Arial" w:cs="Arial" w:eastAsia="Arial" w:hAnsi="Arial"/>
          <w:color w:val="141C14"/>
          <w:sz w:val="20"/>
          <w:szCs w:val="20"/>
        </w:rPr>
        <w:t xml:space="preserve">~40 minutes</w:t>
      </w:r>
    </w:p>
    <w:p>
      <w:pPr>
        <w:spacing w:before="60" w:after="20"/>
      </w:pPr>
      <w:r>
        <w:rPr>
          <w:rFonts w:ascii="Arial" w:cs="Arial" w:eastAsia="Arial" w:hAnsi="Arial"/>
          <w:b/>
          <w:bCs/>
          <w:color w:val="9B8EC4"/>
          <w:sz w:val="16"/>
          <w:szCs w:val="16"/>
        </w:rPr>
        <w:t xml:space="preserve">BLOOM’S LEVEL</w:t>
      </w:r>
    </w:p>
    <w:p>
      <w:pPr>
        <w:spacing w:before="60" w:after="60"/>
      </w:pPr>
      <w:r>
        <w:rPr>
          <w:rFonts w:ascii="Arial" w:cs="Arial" w:eastAsia="Arial" w:hAnsi="Arial"/>
          <w:color w:val="141C14"/>
          <w:sz w:val="20"/>
          <w:szCs w:val="20"/>
        </w:rPr>
        <w:t xml:space="preserve">Create</w:t>
      </w:r>
    </w:p>
    <w:p>
      <w:pPr>
        <w:spacing w:before="60" w:after="20"/>
      </w:pPr>
      <w:r>
        <w:rPr>
          <w:rFonts w:ascii="Arial" w:cs="Arial" w:eastAsia="Arial" w:hAnsi="Arial"/>
          <w:b/>
          <w:bCs/>
          <w:color w:val="9B8EC4"/>
          <w:sz w:val="16"/>
          <w:szCs w:val="16"/>
        </w:rPr>
        <w:t xml:space="preserve">FORMAT</w:t>
      </w:r>
    </w:p>
    <w:p>
      <w:pPr>
        <w:spacing w:before="60" w:after="60"/>
      </w:pPr>
      <w:r>
        <w:rPr>
          <w:rFonts w:ascii="Arial" w:cs="Arial" w:eastAsia="Arial" w:hAnsi="Arial"/>
          <w:color w:val="141C14"/>
          <w:sz w:val="20"/>
          <w:szCs w:val="20"/>
        </w:rPr>
        <w:t xml:space="preserve">Framework application + peer review + revision</w:t>
      </w:r>
    </w:p>
    <w:p>
      <w:pPr>
        <w:spacing w:before="60" w:after="20"/>
      </w:pPr>
      <w:r>
        <w:rPr>
          <w:rFonts w:ascii="Arial" w:cs="Arial" w:eastAsia="Arial" w:hAnsi="Arial"/>
          <w:b/>
          <w:bCs/>
          <w:color w:val="9B8EC4"/>
          <w:sz w:val="16"/>
          <w:szCs w:val="16"/>
        </w:rPr>
        <w:t xml:space="preserve">CONTENT</w:t>
      </w:r>
    </w:p>
    <w:p>
      <w:pPr>
        <w:spacing w:before="60" w:after="60"/>
      </w:pPr>
      <w:r>
        <w:rPr>
          <w:rFonts w:ascii="Arial" w:cs="Arial" w:eastAsia="Arial" w:hAnsi="Arial"/>
          <w:color w:val="141C14"/>
          <w:sz w:val="20"/>
          <w:szCs w:val="20"/>
        </w:rPr>
        <w:t xml:space="preserve">Deep dive into the HEART framework as a design tool. Educators take an existing assignment from their practice and run it through the HEART checklist: Human context, Evidence of process, Argumentation, Real audience, Transfer. They identify which elements are present, which are absent, and redesign at least one component to strengthen AI-resilience.</w:t>
      </w:r>
    </w:p>
    <w:p>
      <w:pPr>
        <w:spacing w:before="60" w:after="20"/>
      </w:pPr>
      <w:r>
        <w:rPr>
          <w:rFonts w:ascii="Arial" w:cs="Arial" w:eastAsia="Arial" w:hAnsi="Arial"/>
          <w:b/>
          <w:bCs/>
          <w:color w:val="9B8EC4"/>
          <w:sz w:val="16"/>
          <w:szCs w:val="16"/>
        </w:rPr>
        <w:t xml:space="preserve">HEART FRAMEWORK</w:t>
      </w:r>
    </w:p>
    <w:p>
      <w:pPr>
        <w:spacing w:before="60" w:after="60"/>
      </w:pPr>
      <w:r>
        <w:rPr>
          <w:rFonts w:ascii="Arial" w:cs="Arial" w:eastAsia="Arial" w:hAnsi="Arial"/>
          <w:color w:val="141C14"/>
          <w:sz w:val="20"/>
          <w:szCs w:val="20"/>
        </w:rPr>
        <w:t xml:space="preserve">Human context — Evidence of process — Argumentation — Real audience — Transfer</w:t>
      </w:r>
    </w:p>
    <w:p>
      <w:pPr>
        <w:spacing w:before="60" w:after="20"/>
      </w:pPr>
      <w:r>
        <w:rPr>
          <w:rFonts w:ascii="Arial" w:cs="Arial" w:eastAsia="Arial" w:hAnsi="Arial"/>
          <w:b/>
          <w:bCs/>
          <w:color w:val="9B8EC4"/>
          <w:sz w:val="16"/>
          <w:szCs w:val="16"/>
        </w:rPr>
        <w:t xml:space="preserve">PEER REVIEW</w:t>
      </w:r>
    </w:p>
    <w:p>
      <w:pPr>
        <w:spacing w:before="60" w:after="60"/>
      </w:pPr>
      <w:r>
        <w:rPr>
          <w:rFonts w:ascii="Arial" w:cs="Arial" w:eastAsia="Arial" w:hAnsi="Arial"/>
          <w:color w:val="141C14"/>
          <w:sz w:val="20"/>
          <w:szCs w:val="20"/>
        </w:rPr>
        <w:t xml:space="preserve">Educators exchange redesigned assignments with a partner and provide structured feedback using a provided rubric.</w:t>
      </w:r>
    </w:p>
    <w:p>
      <w:pPr>
        <w:spacing w:before="60" w:after="60"/>
      </w:pPr>
      <w:r>
        <w:t xml:space="preserve"/>
      </w:r>
    </w:p>
    <w:p>
      <w:pPr>
        <w:spacing w:before="180" w:after="60"/>
      </w:pPr>
      <w:r>
        <w:rPr>
          <w:rFonts w:ascii="Arial" w:cs="Arial" w:eastAsia="Arial" w:hAnsi="Arial"/>
          <w:b/>
          <w:bCs/>
          <w:color w:val="3D6B4F"/>
          <w:sz w:val="22"/>
          <w:szCs w:val="22"/>
        </w:rPr>
        <w:t xml:space="preserve">Lesson 3.3 — AI as a Student Thinking Partner</w:t>
      </w:r>
    </w:p>
    <w:p>
      <w:pPr>
        <w:spacing w:before="60" w:after="20"/>
      </w:pPr>
      <w:r>
        <w:rPr>
          <w:rFonts w:ascii="Arial" w:cs="Arial" w:eastAsia="Arial" w:hAnsi="Arial"/>
          <w:b/>
          <w:bCs/>
          <w:color w:val="9B8EC4"/>
          <w:sz w:val="16"/>
          <w:szCs w:val="16"/>
        </w:rPr>
        <w:t xml:space="preserve">DURATION</w:t>
      </w:r>
    </w:p>
    <w:p>
      <w:pPr>
        <w:spacing w:before="60" w:after="60"/>
      </w:pPr>
      <w:r>
        <w:rPr>
          <w:rFonts w:ascii="Arial" w:cs="Arial" w:eastAsia="Arial" w:hAnsi="Arial"/>
          <w:color w:val="141C14"/>
          <w:sz w:val="20"/>
          <w:szCs w:val="20"/>
        </w:rPr>
        <w:t xml:space="preserve">~35 minutes</w:t>
      </w:r>
    </w:p>
    <w:p>
      <w:pPr>
        <w:spacing w:before="60" w:after="20"/>
      </w:pPr>
      <w:r>
        <w:rPr>
          <w:rFonts w:ascii="Arial" w:cs="Arial" w:eastAsia="Arial" w:hAnsi="Arial"/>
          <w:b/>
          <w:bCs/>
          <w:color w:val="9B8EC4"/>
          <w:sz w:val="16"/>
          <w:szCs w:val="16"/>
        </w:rPr>
        <w:t xml:space="preserve">BLOOM’S LEVEL</w:t>
      </w:r>
    </w:p>
    <w:p>
      <w:pPr>
        <w:spacing w:before="60" w:after="60"/>
      </w:pPr>
      <w:r>
        <w:rPr>
          <w:rFonts w:ascii="Arial" w:cs="Arial" w:eastAsia="Arial" w:hAnsi="Arial"/>
          <w:color w:val="141C14"/>
          <w:sz w:val="20"/>
          <w:szCs w:val="20"/>
        </w:rPr>
        <w:t xml:space="preserve">Evaluate / Synthesize</w:t>
      </w:r>
    </w:p>
    <w:p>
      <w:pPr>
        <w:spacing w:before="60" w:after="20"/>
      </w:pPr>
      <w:r>
        <w:rPr>
          <w:rFonts w:ascii="Arial" w:cs="Arial" w:eastAsia="Arial" w:hAnsi="Arial"/>
          <w:b/>
          <w:bCs/>
          <w:color w:val="9B8EC4"/>
          <w:sz w:val="16"/>
          <w:szCs w:val="16"/>
        </w:rPr>
        <w:t xml:space="preserve">FORMAT</w:t>
      </w:r>
    </w:p>
    <w:p>
      <w:pPr>
        <w:spacing w:before="60" w:after="60"/>
      </w:pPr>
      <w:r>
        <w:rPr>
          <w:rFonts w:ascii="Arial" w:cs="Arial" w:eastAsia="Arial" w:hAnsi="Arial"/>
          <w:color w:val="141C14"/>
          <w:sz w:val="20"/>
          <w:szCs w:val="20"/>
        </w:rPr>
        <w:t xml:space="preserve">Strategy overview + classroom scenario analysis + portfolio completion</w:t>
      </w:r>
    </w:p>
    <w:p>
      <w:pPr>
        <w:spacing w:before="60" w:after="20"/>
      </w:pPr>
      <w:r>
        <w:rPr>
          <w:rFonts w:ascii="Arial" w:cs="Arial" w:eastAsia="Arial" w:hAnsi="Arial"/>
          <w:b/>
          <w:bCs/>
          <w:color w:val="9B8EC4"/>
          <w:sz w:val="16"/>
          <w:szCs w:val="16"/>
        </w:rPr>
        <w:t xml:space="preserve">CONTENT</w:t>
      </w:r>
    </w:p>
    <w:p>
      <w:pPr>
        <w:spacing w:before="60" w:after="60"/>
      </w:pPr>
      <w:r>
        <w:rPr>
          <w:rFonts w:ascii="Arial" w:cs="Arial" w:eastAsia="Arial" w:hAnsi="Arial"/>
          <w:color w:val="141C14"/>
          <w:sz w:val="20"/>
          <w:szCs w:val="20"/>
        </w:rPr>
        <w:t xml:space="preserve">Introduces four patterns for student AI use that deepen rather than shortcut thinking: The Challenger (AI argues against the student’s position), The First Drafter (students critique and revise AI output), The Research Assistant (AI suggests, students verify), and The Socratic Bot (AI may only ask questions). Educators select one pattern to pilot with students and document their implementation plan.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8EC4" w:sz="8"/>
              <w:left w:val="none" w:color="FFFFFF" w:sz="0"/>
              <w:bottom w:val="none" w:color="FFFFFF" w:sz="0"/>
              <w:right w:val="none" w:color="FFFFFF" w:sz="0"/>
            </w:tcBorders>
            <w:shd w:fill="EDE9F8" w:val="clear"/>
            <w:tcMar>
              <w:top w:type="dxa" w:w="120"/>
              <w:left w:type="dxa" w:w="160"/>
              <w:bottom w:type="dxa" w:w="120"/>
              <w:right w:type="dxa" w:w="160"/>
            </w:tcMar>
          </w:tcPr>
          <w:p>
            <w:pPr>
              <w:spacing w:before="0" w:after="60"/>
            </w:pPr>
            <w:r>
              <w:rPr>
                <w:rFonts w:ascii="Arial" w:cs="Arial" w:eastAsia="Arial" w:hAnsi="Arial"/>
                <w:b/>
                <w:bCs/>
                <w:color w:val="9B8EC4"/>
                <w:sz w:val="16"/>
                <w:szCs w:val="16"/>
              </w:rPr>
              <w:t xml:space="preserve">FINAL PORTFOLIO REQUIREMENTS</w:t>
            </w:r>
          </w:p>
          <w:p>
            <w:pPr>
              <w:spacing w:before="0" w:after="0"/>
            </w:pPr>
            <w:r>
              <w:rPr>
                <w:rFonts w:ascii="Arial" w:cs="Arial" w:eastAsia="Arial" w:hAnsi="Arial"/>
                <w:color w:val="141C14"/>
                <w:sz w:val="20"/>
                <w:szCs w:val="20"/>
              </w:rPr>
              <w:t xml:space="preserve">To complete the course and receive 0.5 CEU, educators submit a portfolio including: (1) a completed AI decision guide from Module 1, (2) a classroom AI use policy from Module 2, and (3) one redesigned AI-resilient lesson plan with documented HEART framework application from Module 3. Portfolios are reviewed by a trained facilitator using the provided rubric.</w:t>
            </w:r>
          </w:p>
        </w:tc>
      </w:tr>
    </w:tbl>
    <w:p>
      <w:pPr>
        <w:spacing w:before="60" w:after="60"/>
      </w:pPr>
      <w:r>
        <w:t xml:space="preserve"/>
      </w:r>
    </w:p>
    <w:p>
      <w:r>
        <w:br w:type="page"/>
      </w:r>
    </w:p>
    <w:p>
      <w:pPr>
        <w:pStyle w:val="Heading1"/>
        <w:pBdr>
          <w:bottom w:val="single" w:color="3D6B4F" w:sz="6" w:space="6"/>
        </w:pBdr>
        <w:spacing w:before="360" w:after="120"/>
      </w:pPr>
      <w:r>
        <w:rPr>
          <w:rFonts w:ascii="Arial" w:cs="Arial" w:eastAsia="Arial" w:hAnsi="Arial"/>
          <w:b/>
          <w:bCs/>
          <w:color w:val="3D6B4F"/>
          <w:sz w:val="28"/>
          <w:szCs w:val="28"/>
        </w:rPr>
        <w:t xml:space="preserve">Evaluation Strategy</w:t>
      </w:r>
    </w:p>
    <w:p>
      <w:pPr>
        <w:spacing w:before="60" w:after="60"/>
      </w:pPr>
      <w:r>
        <w:rPr>
          <w:rFonts w:ascii="Arial" w:cs="Arial" w:eastAsia="Arial" w:hAnsi="Arial"/>
          <w:color w:val="141C14"/>
          <w:sz w:val="20"/>
          <w:szCs w:val="20"/>
        </w:rPr>
        <w:t xml:space="preserve">This course applies the Kirkpatrick Model across four levels to ensure learning translates to practice.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80"/>
        <w:gridCol w:w="3080"/>
      </w:tblGrid>
      <w:tr>
        <w:tc>
          <w:tcPr>
            <w:tcW w:type="dxa" w:w="1200"/>
            <w:tcBorders>
              <w:top w:val="single" w:color="D0D0D0" w:sz="1"/>
              <w:left w:val="single" w:color="D0D0D0" w:sz="1"/>
              <w:bottom w:val="single" w:color="D0D0D0" w:sz="1"/>
              <w:right w:val="single" w:color="D0D0D0" w:sz="1"/>
            </w:tcBorders>
            <w:shd w:fill="3D6B4F"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2000"/>
            <w:tcBorders>
              <w:top w:val="single" w:color="D0D0D0" w:sz="1"/>
              <w:left w:val="single" w:color="D0D0D0" w:sz="1"/>
              <w:bottom w:val="single" w:color="D0D0D0" w:sz="1"/>
              <w:right w:val="single" w:color="D0D0D0" w:sz="1"/>
            </w:tcBorders>
            <w:shd w:fill="3D6B4F" w:val="clear"/>
            <w:tcMar>
              <w:top w:type="dxa" w:w="80"/>
              <w:left w:type="dxa" w:w="120"/>
              <w:bottom w:type="dxa" w:w="80"/>
              <w:right w:type="dxa" w:w="120"/>
            </w:tcMar>
          </w:tcPr>
          <w:p>
            <w:r>
              <w:rPr>
                <w:rFonts w:ascii="Arial" w:cs="Arial" w:eastAsia="Arial" w:hAnsi="Arial"/>
                <w:b/>
                <w:bCs/>
                <w:color w:val="FFFFFF"/>
                <w:sz w:val="18"/>
                <w:szCs w:val="18"/>
              </w:rPr>
              <w:t xml:space="preserve">FOCUS</w:t>
            </w:r>
          </w:p>
        </w:tc>
        <w:tc>
          <w:tcPr>
            <w:tcW w:type="dxa" w:w="3080"/>
            <w:tcBorders>
              <w:top w:val="single" w:color="D0D0D0" w:sz="1"/>
              <w:left w:val="single" w:color="D0D0D0" w:sz="1"/>
              <w:bottom w:val="single" w:color="D0D0D0" w:sz="1"/>
              <w:right w:val="single" w:color="D0D0D0" w:sz="1"/>
            </w:tcBorders>
            <w:shd w:fill="3D6B4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080"/>
            <w:tcBorders>
              <w:top w:val="single" w:color="D0D0D0" w:sz="1"/>
              <w:left w:val="single" w:color="D0D0D0" w:sz="1"/>
              <w:bottom w:val="single" w:color="D0D0D0" w:sz="1"/>
              <w:right w:val="single" w:color="D0D0D0" w:sz="1"/>
            </w:tcBorders>
            <w:shd w:fill="3D6B4F" w:val="clear"/>
            <w:tcMar>
              <w:top w:type="dxa" w:w="80"/>
              <w:left w:type="dxa" w:w="120"/>
              <w:bottom w:type="dxa" w:w="80"/>
              <w:right w:type="dxa" w:w="120"/>
            </w:tcMar>
          </w:tcPr>
          <w:p>
            <w:r>
              <w:rPr>
                <w:rFonts w:ascii="Arial" w:cs="Arial" w:eastAsia="Arial" w:hAnsi="Arial"/>
                <w:b/>
                <w:bCs/>
                <w:color w:val="FFFFFF"/>
                <w:sz w:val="18"/>
                <w:szCs w:val="18"/>
              </w:rPr>
              <w:t xml:space="preserve">TIMING</w:t>
            </w:r>
          </w:p>
        </w:tc>
      </w:tr>
      <w:tr>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9B8EC4"/>
                <w:sz w:val="20"/>
                <w:szCs w:val="20"/>
              </w:rPr>
              <w:t xml:space="preserve">Level 1</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41C14"/>
                <w:sz w:val="20"/>
                <w:szCs w:val="20"/>
              </w:rPr>
              <w:t xml:space="preserve">Reaction</w:t>
            </w:r>
          </w:p>
        </w:tc>
        <w:tc>
          <w:tcPr>
            <w:tcW w:type="dxa" w:w="30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41C14"/>
                <w:sz w:val="20"/>
                <w:szCs w:val="20"/>
              </w:rPr>
              <w:t xml:space="preserve">Post-lesson reflection prompts; end-of-module satisfaction survey</w:t>
            </w:r>
          </w:p>
        </w:tc>
        <w:tc>
          <w:tcPr>
            <w:tcW w:type="dxa" w:w="30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41C14"/>
                <w:sz w:val="20"/>
                <w:szCs w:val="20"/>
              </w:rPr>
              <w:t xml:space="preserve">End of each lesson and module</w:t>
            </w:r>
          </w:p>
        </w:tc>
      </w:tr>
      <w:tr>
        <w:tc>
          <w:tcPr>
            <w:tcW w:type="dxa" w:w="1200"/>
            <w:tcBorders>
              <w:top w:val="single" w:color="D0D0D0" w:sz="1"/>
              <w:left w:val="single" w:color="D0D0D0" w:sz="1"/>
              <w:bottom w:val="single" w:color="D0D0D0" w:sz="1"/>
              <w:right w:val="single" w:color="D0D0D0" w:sz="1"/>
            </w:tcBorders>
            <w:shd w:fill="E4EDE3" w:val="clear"/>
            <w:tcMar>
              <w:top w:type="dxa" w:w="80"/>
              <w:left w:type="dxa" w:w="120"/>
              <w:bottom w:type="dxa" w:w="80"/>
              <w:right w:type="dxa" w:w="120"/>
            </w:tcMar>
          </w:tcPr>
          <w:p>
            <w:r>
              <w:rPr>
                <w:rFonts w:ascii="Arial" w:cs="Arial" w:eastAsia="Arial" w:hAnsi="Arial"/>
                <w:b/>
                <w:bCs/>
                <w:color w:val="9B8EC4"/>
                <w:sz w:val="20"/>
                <w:szCs w:val="20"/>
              </w:rPr>
              <w:t xml:space="preserve">Level 2</w:t>
            </w:r>
          </w:p>
        </w:tc>
        <w:tc>
          <w:tcPr>
            <w:tcW w:type="dxa" w:w="2000"/>
            <w:tcBorders>
              <w:top w:val="single" w:color="D0D0D0" w:sz="1"/>
              <w:left w:val="single" w:color="D0D0D0" w:sz="1"/>
              <w:bottom w:val="single" w:color="D0D0D0" w:sz="1"/>
              <w:right w:val="single" w:color="D0D0D0" w:sz="1"/>
            </w:tcBorders>
            <w:shd w:fill="E4EDE3" w:val="clear"/>
            <w:tcMar>
              <w:top w:type="dxa" w:w="80"/>
              <w:left w:type="dxa" w:w="120"/>
              <w:bottom w:type="dxa" w:w="80"/>
              <w:right w:type="dxa" w:w="120"/>
            </w:tcMar>
          </w:tcPr>
          <w:p>
            <w:r>
              <w:rPr>
                <w:rFonts w:ascii="Arial" w:cs="Arial" w:eastAsia="Arial" w:hAnsi="Arial"/>
                <w:color w:val="141C14"/>
                <w:sz w:val="20"/>
                <w:szCs w:val="20"/>
              </w:rPr>
              <w:t xml:space="preserve">Learning</w:t>
            </w:r>
          </w:p>
        </w:tc>
        <w:tc>
          <w:tcPr>
            <w:tcW w:type="dxa" w:w="3080"/>
            <w:tcBorders>
              <w:top w:val="single" w:color="D0D0D0" w:sz="1"/>
              <w:left w:val="single" w:color="D0D0D0" w:sz="1"/>
              <w:bottom w:val="single" w:color="D0D0D0" w:sz="1"/>
              <w:right w:val="single" w:color="D0D0D0" w:sz="1"/>
            </w:tcBorders>
            <w:shd w:fill="E4EDE3" w:val="clear"/>
            <w:tcMar>
              <w:top w:type="dxa" w:w="80"/>
              <w:left w:type="dxa" w:w="120"/>
              <w:bottom w:type="dxa" w:w="80"/>
              <w:right w:type="dxa" w:w="120"/>
            </w:tcMar>
          </w:tcPr>
          <w:p>
            <w:r>
              <w:rPr>
                <w:rFonts w:ascii="Arial" w:cs="Arial" w:eastAsia="Arial" w:hAnsi="Arial"/>
                <w:color w:val="141C14"/>
                <w:sz w:val="20"/>
                <w:szCs w:val="20"/>
              </w:rPr>
              <w:t xml:space="preserve">Scenario-based knowledge checks per module; vocabulary assessments</w:t>
            </w:r>
          </w:p>
        </w:tc>
        <w:tc>
          <w:tcPr>
            <w:tcW w:type="dxa" w:w="3080"/>
            <w:tcBorders>
              <w:top w:val="single" w:color="D0D0D0" w:sz="1"/>
              <w:left w:val="single" w:color="D0D0D0" w:sz="1"/>
              <w:bottom w:val="single" w:color="D0D0D0" w:sz="1"/>
              <w:right w:val="single" w:color="D0D0D0" w:sz="1"/>
            </w:tcBorders>
            <w:shd w:fill="E4EDE3" w:val="clear"/>
            <w:tcMar>
              <w:top w:type="dxa" w:w="80"/>
              <w:left w:type="dxa" w:w="120"/>
              <w:bottom w:type="dxa" w:w="80"/>
              <w:right w:type="dxa" w:w="120"/>
            </w:tcMar>
          </w:tcPr>
          <w:p>
            <w:r>
              <w:rPr>
                <w:rFonts w:ascii="Arial" w:cs="Arial" w:eastAsia="Arial" w:hAnsi="Arial"/>
                <w:color w:val="141C14"/>
                <w:sz w:val="20"/>
                <w:szCs w:val="20"/>
              </w:rPr>
              <w:t xml:space="preserve">End of each module</w:t>
            </w:r>
          </w:p>
        </w:tc>
      </w:tr>
      <w:tr>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9B8EC4"/>
                <w:sz w:val="20"/>
                <w:szCs w:val="20"/>
              </w:rPr>
              <w:t xml:space="preserve">Level 3</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41C14"/>
                <w:sz w:val="20"/>
                <w:szCs w:val="20"/>
              </w:rPr>
              <w:t xml:space="preserve">Behavior</w:t>
            </w:r>
          </w:p>
        </w:tc>
        <w:tc>
          <w:tcPr>
            <w:tcW w:type="dxa" w:w="30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41C14"/>
                <w:sz w:val="20"/>
                <w:szCs w:val="20"/>
              </w:rPr>
              <w:t xml:space="preserve">Final portfolio: redesigned lesson, AI policy, and decision guide</w:t>
            </w:r>
          </w:p>
        </w:tc>
        <w:tc>
          <w:tcPr>
            <w:tcW w:type="dxa" w:w="30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41C14"/>
                <w:sz w:val="20"/>
                <w:szCs w:val="20"/>
              </w:rPr>
              <w:t xml:space="preserve">End of course</w:t>
            </w:r>
          </w:p>
        </w:tc>
      </w:tr>
      <w:tr>
        <w:tc>
          <w:tcPr>
            <w:tcW w:type="dxa" w:w="1200"/>
            <w:tcBorders>
              <w:top w:val="single" w:color="D0D0D0" w:sz="1"/>
              <w:left w:val="single" w:color="D0D0D0" w:sz="1"/>
              <w:bottom w:val="single" w:color="D0D0D0" w:sz="1"/>
              <w:right w:val="single" w:color="D0D0D0" w:sz="1"/>
            </w:tcBorders>
            <w:shd w:fill="EDE9F8" w:val="clear"/>
            <w:tcMar>
              <w:top w:type="dxa" w:w="80"/>
              <w:left w:type="dxa" w:w="120"/>
              <w:bottom w:type="dxa" w:w="80"/>
              <w:right w:type="dxa" w:w="120"/>
            </w:tcMar>
          </w:tcPr>
          <w:p>
            <w:r>
              <w:rPr>
                <w:rFonts w:ascii="Arial" w:cs="Arial" w:eastAsia="Arial" w:hAnsi="Arial"/>
                <w:b/>
                <w:bCs/>
                <w:color w:val="9B8EC4"/>
                <w:sz w:val="20"/>
                <w:szCs w:val="20"/>
              </w:rPr>
              <w:t xml:space="preserve">Level 4</w:t>
            </w:r>
          </w:p>
        </w:tc>
        <w:tc>
          <w:tcPr>
            <w:tcW w:type="dxa" w:w="2000"/>
            <w:tcBorders>
              <w:top w:val="single" w:color="D0D0D0" w:sz="1"/>
              <w:left w:val="single" w:color="D0D0D0" w:sz="1"/>
              <w:bottom w:val="single" w:color="D0D0D0" w:sz="1"/>
              <w:right w:val="single" w:color="D0D0D0" w:sz="1"/>
            </w:tcBorders>
            <w:shd w:fill="EDE9F8" w:val="clear"/>
            <w:tcMar>
              <w:top w:type="dxa" w:w="80"/>
              <w:left w:type="dxa" w:w="120"/>
              <w:bottom w:type="dxa" w:w="80"/>
              <w:right w:type="dxa" w:w="120"/>
            </w:tcMar>
          </w:tcPr>
          <w:p>
            <w:r>
              <w:rPr>
                <w:rFonts w:ascii="Arial" w:cs="Arial" w:eastAsia="Arial" w:hAnsi="Arial"/>
                <w:color w:val="141C14"/>
                <w:sz w:val="20"/>
                <w:szCs w:val="20"/>
              </w:rPr>
              <w:t xml:space="preserve">Results</w:t>
            </w:r>
          </w:p>
        </w:tc>
        <w:tc>
          <w:tcPr>
            <w:tcW w:type="dxa" w:w="3080"/>
            <w:tcBorders>
              <w:top w:val="single" w:color="D0D0D0" w:sz="1"/>
              <w:left w:val="single" w:color="D0D0D0" w:sz="1"/>
              <w:bottom w:val="single" w:color="D0D0D0" w:sz="1"/>
              <w:right w:val="single" w:color="D0D0D0" w:sz="1"/>
            </w:tcBorders>
            <w:shd w:fill="EDE9F8" w:val="clear"/>
            <w:tcMar>
              <w:top w:type="dxa" w:w="80"/>
              <w:left w:type="dxa" w:w="120"/>
              <w:bottom w:type="dxa" w:w="80"/>
              <w:right w:type="dxa" w:w="120"/>
            </w:tcMar>
          </w:tcPr>
          <w:p>
            <w:r>
              <w:rPr>
                <w:rFonts w:ascii="Arial" w:cs="Arial" w:eastAsia="Arial" w:hAnsi="Arial"/>
                <w:color w:val="141C14"/>
                <w:sz w:val="20"/>
                <w:szCs w:val="20"/>
              </w:rPr>
              <w:t xml:space="preserve">30-day follow-up survey: classroom implementation, perceived impact, questions surfaced</w:t>
            </w:r>
          </w:p>
        </w:tc>
        <w:tc>
          <w:tcPr>
            <w:tcW w:type="dxa" w:w="3080"/>
            <w:tcBorders>
              <w:top w:val="single" w:color="D0D0D0" w:sz="1"/>
              <w:left w:val="single" w:color="D0D0D0" w:sz="1"/>
              <w:bottom w:val="single" w:color="D0D0D0" w:sz="1"/>
              <w:right w:val="single" w:color="D0D0D0" w:sz="1"/>
            </w:tcBorders>
            <w:shd w:fill="EDE9F8" w:val="clear"/>
            <w:tcMar>
              <w:top w:type="dxa" w:w="80"/>
              <w:left w:type="dxa" w:w="120"/>
              <w:bottom w:type="dxa" w:w="80"/>
              <w:right w:type="dxa" w:w="120"/>
            </w:tcMar>
          </w:tcPr>
          <w:p>
            <w:r>
              <w:rPr>
                <w:rFonts w:ascii="Arial" w:cs="Arial" w:eastAsia="Arial" w:hAnsi="Arial"/>
                <w:color w:val="141C14"/>
                <w:sz w:val="20"/>
                <w:szCs w:val="20"/>
              </w:rPr>
              <w:t xml:space="preserve">30 days post-completion</w:t>
            </w:r>
          </w:p>
        </w:tc>
      </w:tr>
    </w:tbl>
    <w:p>
      <w:pPr>
        <w:spacing w:before="60" w:after="60"/>
      </w:pPr>
      <w:r>
        <w:t xml:space="preserve"/>
      </w:r>
    </w:p>
    <w:p>
      <w:r>
        <w:br w:type="page"/>
      </w:r>
    </w:p>
    <w:p>
      <w:pPr>
        <w:pStyle w:val="Heading1"/>
        <w:pBdr>
          <w:bottom w:val="single" w:color="3D6B4F" w:sz="6" w:space="6"/>
        </w:pBdr>
        <w:spacing w:before="360" w:after="120"/>
      </w:pPr>
      <w:r>
        <w:rPr>
          <w:rFonts w:ascii="Arial" w:cs="Arial" w:eastAsia="Arial" w:hAnsi="Arial"/>
          <w:b/>
          <w:bCs/>
          <w:color w:val="3D6B4F"/>
          <w:sz w:val="28"/>
          <w:szCs w:val="28"/>
        </w:rPr>
        <w:t xml:space="preserve">Designer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8EC4" w:sz="8"/>
              <w:left w:val="none" w:color="FFFFFF" w:sz="0"/>
              <w:bottom w:val="none" w:color="FFFFFF" w:sz="0"/>
              <w:right w:val="none" w:color="FFFFFF" w:sz="0"/>
            </w:tcBorders>
            <w:shd w:fill="EDE9F8" w:val="clear"/>
            <w:tcMar>
              <w:top w:type="dxa" w:w="120"/>
              <w:left w:type="dxa" w:w="160"/>
              <w:bottom w:type="dxa" w:w="120"/>
              <w:right w:type="dxa" w:w="160"/>
            </w:tcMar>
          </w:tcPr>
          <w:p>
            <w:pPr>
              <w:spacing w:before="0" w:after="60"/>
            </w:pPr>
            <w:r>
              <w:rPr>
                <w:rFonts w:ascii="Arial" w:cs="Arial" w:eastAsia="Arial" w:hAnsi="Arial"/>
                <w:b/>
                <w:bCs/>
                <w:color w:val="9B8EC4"/>
                <w:sz w:val="16"/>
                <w:szCs w:val="16"/>
              </w:rPr>
              <w:t xml:space="preserve">PHILOSOPHY</w:t>
            </w:r>
          </w:p>
          <w:p>
            <w:pPr>
              <w:spacing w:before="0" w:after="0"/>
            </w:pPr>
            <w:r>
              <w:rPr>
                <w:rFonts w:ascii="Arial" w:cs="Arial" w:eastAsia="Arial" w:hAnsi="Arial"/>
                <w:color w:val="141C14"/>
                <w:sz w:val="20"/>
                <w:szCs w:val="20"/>
              </w:rPr>
              <w:t xml:space="preserve">Good learning design is empathic, user-centered, and uncomplicated in its path to learning. — Hana Morsi</w:t>
            </w:r>
          </w:p>
        </w:tc>
      </w:tr>
    </w:tbl>
    <w:p>
      <w:pPr>
        <w:spacing w:before="60" w:after="60"/>
      </w:pPr>
      <w:r>
        <w:t xml:space="preserve"/>
      </w:r>
    </w:p>
    <w:p>
      <w:pPr>
        <w:spacing w:before="60" w:after="60"/>
      </w:pPr>
      <w:r>
        <w:rPr>
          <w:rFonts w:ascii="Arial" w:cs="Arial" w:eastAsia="Arial" w:hAnsi="Arial"/>
          <w:color w:val="141C14"/>
          <w:sz w:val="20"/>
          <w:szCs w:val="20"/>
        </w:rPr>
        <w:t xml:space="preserve">This course was designed with three tensions in mind:</w:t>
      </w:r>
    </w:p>
    <w:p>
      <w:pPr>
        <w:spacing w:before="60" w:after="60"/>
      </w:pPr>
      <w:r>
        <w:t xml:space="preserve"/>
      </w:r>
    </w:p>
    <w:p>
      <w:pPr>
        <w:pStyle w:val="ListParagraph"/>
        <w:numPr>
          <w:ilvl w:val="0"/>
          <w:numId w:val="2"/>
        </w:numPr>
        <w:spacing w:before="40" w:after="40"/>
      </w:pPr>
      <w:r>
        <w:rPr>
          <w:rFonts w:ascii="Arial" w:cs="Arial" w:eastAsia="Arial" w:hAnsi="Arial"/>
          <w:color w:val="141C14"/>
          <w:sz w:val="20"/>
          <w:szCs w:val="20"/>
        </w:rPr>
        <w:t xml:space="preserve">Efficiency vs. depth: Educators are time-poor. The micro-course format respects that constraint while refusing to flatten the complexity of AI ethics into a checklist.</w:t>
      </w:r>
    </w:p>
    <w:p>
      <w:pPr>
        <w:pStyle w:val="ListParagraph"/>
        <w:numPr>
          <w:ilvl w:val="0"/>
          <w:numId w:val="2"/>
        </w:numPr>
        <w:spacing w:before="40" w:after="40"/>
      </w:pPr>
      <w:r>
        <w:rPr>
          <w:rFonts w:ascii="Arial" w:cs="Arial" w:eastAsia="Arial" w:hAnsi="Arial"/>
          <w:color w:val="141C14"/>
          <w:sz w:val="20"/>
          <w:szCs w:val="20"/>
        </w:rPr>
        <w:t xml:space="preserve">Optimism vs. critique: AI has real potential in education — and real risks. This course holds both without resolving the tension into a clean conclusion.</w:t>
      </w:r>
    </w:p>
    <w:p>
      <w:pPr>
        <w:pStyle w:val="ListParagraph"/>
        <w:numPr>
          <w:ilvl w:val="0"/>
          <w:numId w:val="2"/>
        </w:numPr>
        <w:spacing w:before="40" w:after="40"/>
      </w:pPr>
      <w:r>
        <w:rPr>
          <w:rFonts w:ascii="Arial" w:cs="Arial" w:eastAsia="Arial" w:hAnsi="Arial"/>
          <w:color w:val="141C14"/>
          <w:sz w:val="20"/>
          <w:szCs w:val="20"/>
        </w:rPr>
        <w:t xml:space="preserve">Tool literacy vs. pedagogical judgment: The goal is never to make educators into AI experts. It is to make them confident, critical, and intentional decision-makers in their own classrooms.</w:t>
      </w:r>
    </w:p>
    <w:p>
      <w:pPr>
        <w:spacing w:before="60" w:after="60"/>
      </w:pPr>
      <w:r>
        <w:t xml:space="preserve"/>
      </w:r>
    </w:p>
    <w:p>
      <w:pPr>
        <w:spacing w:before="60" w:after="60"/>
      </w:pPr>
      <w:r>
        <w:rPr>
          <w:rFonts w:ascii="Arial" w:cs="Arial" w:eastAsia="Arial" w:hAnsi="Arial"/>
          <w:color w:val="141C14"/>
          <w:sz w:val="20"/>
          <w:szCs w:val="20"/>
        </w:rPr>
        <w:t xml:space="preserve">The HEART framework was developed as a practical design heuristic that emerges from constructivist principles: if a task can be completed by a machine, it may not be asking for genuinely human thinking. HEART gives educators a positive design vocabulary — not just a list of AI red flags, but a set of qualities to build toward.</w:t>
      </w:r>
    </w:p>
    <w:p>
      <w:pPr>
        <w:spacing w:before="60" w:after="60"/>
      </w:pPr>
      <w:r>
        <w:t xml:space="preserve"/>
      </w:r>
    </w:p>
    <w:p>
      <w:pPr>
        <w:spacing w:before="60" w:after="60"/>
      </w:pPr>
      <w:r>
        <w:t xml:space="preserve"/>
      </w:r>
    </w:p>
    <w:p>
      <w:pPr>
        <w:pBdr>
          <w:bottom w:val="single" w:color="B8CDB8" w:sz="2" w:space="4"/>
        </w:pBdr>
        <w:spacing w:before="40" w:after="80"/>
      </w:pPr>
      <w:r>
        <w:t xml:space="preserve"/>
      </w:r>
    </w:p>
    <w:p>
      <w:pPr>
        <w:spacing w:before="60" w:after="0"/>
      </w:pPr>
      <w:r>
        <w:rPr>
          <w:rFonts w:ascii="Arial" w:cs="Arial" w:eastAsia="Arial" w:hAnsi="Arial"/>
          <w:color w:val="B8CDB8"/>
          <w:sz w:val="18"/>
          <w:szCs w:val="18"/>
        </w:rPr>
        <w:t xml:space="preserve">hyasmo · Hana Morsi · hanayasmine.m@gmail.com · hyasmo.github.io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C1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3D6B4F"/>
      <w:sz w:val="28"/>
      <w:szCs w:val="28"/>
    </w:rPr>
  </w:style>
  <w:style w:type="paragraph" w:styleId="Heading2">
    <w:name w:val="Heading 2"/>
    <w:basedOn w:val="Normal"/>
    <w:next w:val="Normal"/>
    <w:qFormat/>
    <w:pPr>
      <w:spacing w:before="240" w:after="80"/>
      <w:outlineLvl w:val="1"/>
    </w:pPr>
    <w:rPr>
      <w:rFonts w:ascii="Arial" w:cs="Arial" w:eastAsia="Arial" w:hAnsi="Arial"/>
      <w:b/>
      <w:bCs/>
      <w:color w:val="9B8E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2026-03-11T12:35:13.356Z</dcterms:created>
  <dcterms:modified xsi:type="dcterms:W3CDTF">2026-03-11T12:35:13.357Z</dcterms:modified>
</cp:coreProperties>
</file>

<file path=docProps/custom.xml><?xml version="1.0" encoding="utf-8"?>
<Properties xmlns="http://schemas.openxmlformats.org/officeDocument/2006/custom-properties" xmlns:vt="http://schemas.openxmlformats.org/officeDocument/2006/docPropsVTypes"/>
</file>